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Arial"/>
          <w:b/>
          <w:sz w:val="72"/>
        </w:rPr>
      </w:pPr>
    </w:p>
    <w:p>
      <w:pPr>
        <w:jc w:val="center"/>
        <w:outlineLvl w:val="0"/>
        <w:rPr>
          <w:rFonts w:hint="eastAsia" w:ascii="宋体" w:hAnsi="宋体" w:cs="Arial"/>
          <w:spacing w:val="80"/>
          <w:sz w:val="44"/>
          <w:szCs w:val="44"/>
        </w:rPr>
      </w:pPr>
      <w:r>
        <w:rPr>
          <w:rFonts w:hint="eastAsia" w:ascii="宋体" w:hAnsi="宋体" w:cs="Arial"/>
          <w:spacing w:val="80"/>
          <w:sz w:val="44"/>
          <w:szCs w:val="44"/>
        </w:rPr>
        <w:t>重庆中国三峡博物馆关键信息系统等保评测和</w:t>
      </w:r>
      <w:r>
        <w:rPr>
          <w:rFonts w:ascii="宋体" w:hAnsi="宋体" w:cs="Arial"/>
          <w:spacing w:val="80"/>
          <w:sz w:val="44"/>
          <w:szCs w:val="44"/>
        </w:rPr>
        <w:t>商用密码应用安全性评估</w:t>
      </w:r>
      <w:r>
        <w:rPr>
          <w:rFonts w:hint="eastAsia" w:ascii="宋体" w:hAnsi="宋体" w:cs="Arial"/>
          <w:spacing w:val="80"/>
          <w:sz w:val="44"/>
          <w:szCs w:val="44"/>
        </w:rPr>
        <w:t>服务询</w:t>
      </w:r>
      <w:r>
        <w:rPr>
          <w:rFonts w:hint="eastAsia" w:ascii="宋体" w:hAnsi="宋体" w:cs="Arial"/>
          <w:spacing w:val="80"/>
          <w:sz w:val="44"/>
          <w:szCs w:val="44"/>
          <w:lang w:eastAsia="zh-CN"/>
        </w:rPr>
        <w:t>比</w:t>
      </w:r>
      <w:r>
        <w:rPr>
          <w:rFonts w:hint="eastAsia" w:ascii="宋体" w:hAnsi="宋体" w:cs="Arial"/>
          <w:spacing w:val="80"/>
          <w:sz w:val="44"/>
          <w:szCs w:val="44"/>
        </w:rPr>
        <w:t>文件</w:t>
      </w:r>
    </w:p>
    <w:p>
      <w:pPr>
        <w:spacing w:line="700" w:lineRule="exact"/>
        <w:jc w:val="center"/>
        <w:rPr>
          <w:rFonts w:hint="eastAsia" w:ascii="宋体" w:hAnsi="宋体" w:cs="Arial"/>
          <w:sz w:val="52"/>
          <w:szCs w:val="52"/>
        </w:rPr>
      </w:pPr>
    </w:p>
    <w:p>
      <w:pPr>
        <w:tabs>
          <w:tab w:val="left" w:pos="2761"/>
          <w:tab w:val="left" w:pos="7352"/>
        </w:tabs>
        <w:spacing w:line="700" w:lineRule="exact"/>
        <w:jc w:val="left"/>
        <w:rPr>
          <w:rFonts w:hint="eastAsia" w:ascii="宋体" w:hAnsi="宋体" w:cs="Arial" w:eastAsiaTheme="minorEastAsia"/>
          <w:sz w:val="32"/>
          <w:lang w:eastAsia="zh-CN"/>
        </w:rPr>
      </w:pPr>
      <w:r>
        <w:rPr>
          <w:rFonts w:hint="eastAsia" w:ascii="宋体" w:hAnsi="宋体" w:cs="Arial"/>
          <w:sz w:val="32"/>
          <w:lang w:eastAsia="zh-CN"/>
        </w:rPr>
        <w:tab/>
      </w:r>
      <w:r>
        <w:rPr>
          <w:rFonts w:hint="eastAsia" w:ascii="宋体" w:hAnsi="宋体" w:cs="Arial"/>
          <w:sz w:val="32"/>
          <w:lang w:eastAsia="zh-CN"/>
        </w:rPr>
        <w:tab/>
      </w:r>
    </w:p>
    <w:p>
      <w:pPr>
        <w:spacing w:line="700" w:lineRule="exact"/>
        <w:jc w:val="center"/>
        <w:rPr>
          <w:rFonts w:hint="eastAsia" w:ascii="宋体" w:hAnsi="宋体" w:cs="Arial"/>
          <w:sz w:val="32"/>
        </w:rPr>
      </w:pPr>
    </w:p>
    <w:p>
      <w:pPr>
        <w:spacing w:line="700" w:lineRule="exact"/>
        <w:jc w:val="center"/>
        <w:rPr>
          <w:rFonts w:hint="eastAsia" w:ascii="宋体" w:hAnsi="宋体" w:cs="Arial"/>
          <w:sz w:val="32"/>
        </w:rPr>
      </w:pPr>
    </w:p>
    <w:p>
      <w:pPr>
        <w:spacing w:line="700" w:lineRule="exact"/>
        <w:ind w:firstLine="1916" w:firstLineChars="599"/>
        <w:rPr>
          <w:rFonts w:hint="eastAsia" w:ascii="宋体" w:hAnsi="宋体" w:cs="Arial"/>
          <w:color w:val="auto"/>
          <w:sz w:val="32"/>
        </w:rPr>
      </w:pPr>
      <w:r>
        <w:rPr>
          <w:rFonts w:hint="eastAsia" w:ascii="宋体" w:hAnsi="宋体" w:cs="Arial"/>
          <w:color w:val="auto"/>
          <w:sz w:val="32"/>
        </w:rPr>
        <w:t>项目编号：内26042</w:t>
      </w:r>
    </w:p>
    <w:p>
      <w:pPr>
        <w:spacing w:line="700" w:lineRule="exact"/>
        <w:ind w:left="3676" w:leftChars="684" w:hanging="2240" w:hangingChars="700"/>
        <w:rPr>
          <w:rFonts w:hint="eastAsia" w:ascii="宋体" w:hAnsi="宋体" w:cs="Arial"/>
          <w:color w:val="auto"/>
          <w:sz w:val="32"/>
        </w:rPr>
      </w:pPr>
      <w:r>
        <w:rPr>
          <w:rFonts w:hint="eastAsia" w:ascii="宋体" w:hAnsi="宋体" w:cs="Arial"/>
          <w:sz w:val="32"/>
        </w:rPr>
        <w:t xml:space="preserve">   </w:t>
      </w:r>
      <w:r>
        <w:rPr>
          <w:rFonts w:hint="eastAsia" w:ascii="宋体" w:hAnsi="宋体" w:cs="Arial"/>
          <w:color w:val="auto"/>
          <w:sz w:val="32"/>
        </w:rPr>
        <w:t>项目名称：</w:t>
      </w:r>
      <w:r>
        <w:rPr>
          <w:rFonts w:hint="eastAsia" w:ascii="宋体" w:hAnsi="宋体" w:cs="Arial"/>
          <w:color w:val="auto"/>
          <w:sz w:val="32"/>
          <w:lang w:eastAsia="zh-CN"/>
        </w:rPr>
        <w:t>重庆中国三峡博物馆关键信息系统等保评测和商用密码应用安全性评估服务</w:t>
      </w:r>
      <w:r>
        <w:rPr>
          <w:rFonts w:hint="eastAsia" w:ascii="宋体" w:hAnsi="宋体" w:cs="Arial"/>
          <w:color w:val="auto"/>
          <w:sz w:val="32"/>
        </w:rPr>
        <w:t xml:space="preserve">   </w:t>
      </w:r>
    </w:p>
    <w:p>
      <w:pPr>
        <w:spacing w:line="700" w:lineRule="exact"/>
        <w:ind w:left="2716" w:leftChars="684" w:hanging="1280" w:hangingChars="400"/>
        <w:rPr>
          <w:rFonts w:hint="eastAsia" w:ascii="宋体" w:hAnsi="宋体" w:cs="Arial"/>
          <w:sz w:val="32"/>
        </w:rPr>
      </w:pPr>
      <w:r>
        <w:rPr>
          <w:rFonts w:hint="eastAsia" w:ascii="宋体" w:hAnsi="宋体" w:cs="Arial"/>
          <w:sz w:val="32"/>
          <w:lang w:val="en-US" w:eastAsia="zh-CN"/>
        </w:rPr>
        <w:t xml:space="preserve">   </w:t>
      </w:r>
      <w:r>
        <w:rPr>
          <w:rFonts w:hint="eastAsia" w:ascii="宋体" w:hAnsi="宋体" w:cs="Arial"/>
          <w:sz w:val="32"/>
        </w:rPr>
        <w:t>采购</w:t>
      </w:r>
      <w:r>
        <w:rPr>
          <w:rFonts w:hint="eastAsia" w:ascii="宋体" w:hAnsi="宋体" w:cs="Arial"/>
          <w:sz w:val="32"/>
          <w:lang w:eastAsia="zh-CN"/>
        </w:rPr>
        <w:t>单位</w:t>
      </w:r>
      <w:r>
        <w:rPr>
          <w:rFonts w:hint="eastAsia" w:ascii="宋体" w:hAnsi="宋体" w:cs="Arial"/>
          <w:sz w:val="32"/>
        </w:rPr>
        <w:t>：重庆中国三峡博物馆</w:t>
      </w:r>
    </w:p>
    <w:p>
      <w:pPr>
        <w:spacing w:line="700" w:lineRule="exact"/>
        <w:jc w:val="center"/>
        <w:rPr>
          <w:rFonts w:hint="eastAsia" w:ascii="宋体" w:hAnsi="宋体" w:cs="Arial"/>
          <w:sz w:val="32"/>
        </w:rPr>
      </w:pPr>
    </w:p>
    <w:p>
      <w:pPr>
        <w:pStyle w:val="2"/>
        <w:rPr>
          <w:rFonts w:hint="eastAsia"/>
        </w:rPr>
      </w:pPr>
    </w:p>
    <w:p>
      <w:pPr>
        <w:rPr>
          <w:rFonts w:hint="eastAsia"/>
        </w:rPr>
      </w:pPr>
    </w:p>
    <w:p>
      <w:pPr>
        <w:spacing w:line="700" w:lineRule="exact"/>
        <w:jc w:val="center"/>
        <w:rPr>
          <w:rFonts w:hint="eastAsia" w:ascii="宋体" w:hAnsi="宋体" w:cs="Arial"/>
          <w:sz w:val="32"/>
        </w:rPr>
      </w:pPr>
      <w:r>
        <w:rPr>
          <w:rFonts w:hint="eastAsia" w:ascii="宋体" w:hAnsi="宋体" w:cs="Arial"/>
          <w:sz w:val="32"/>
        </w:rPr>
        <w:t>重庆中国三峡博物馆制</w:t>
      </w:r>
    </w:p>
    <w:p>
      <w:pPr>
        <w:spacing w:line="700" w:lineRule="exact"/>
        <w:jc w:val="center"/>
        <w:outlineLvl w:val="0"/>
        <w:rPr>
          <w:rFonts w:hint="eastAsia" w:ascii="宋体" w:hAnsi="宋体" w:eastAsia="宋体" w:cs="Arial"/>
          <w:color w:val="auto"/>
          <w:sz w:val="36"/>
        </w:rPr>
      </w:pPr>
      <w:r>
        <w:rPr>
          <w:rFonts w:hint="eastAsia" w:ascii="宋体" w:hAnsi="宋体" w:cs="Arial"/>
          <w:color w:val="auto"/>
          <w:sz w:val="32"/>
          <w:lang w:val="en-US" w:eastAsia="zh-CN"/>
        </w:rPr>
        <w:t xml:space="preserve"> 2026</w:t>
      </w:r>
      <w:r>
        <w:rPr>
          <w:rFonts w:hint="eastAsia" w:ascii="宋体" w:hAnsi="宋体" w:cs="Arial"/>
          <w:color w:val="auto"/>
          <w:sz w:val="32"/>
        </w:rPr>
        <w:t>年</w:t>
      </w:r>
      <w:r>
        <w:rPr>
          <w:rFonts w:hint="eastAsia" w:ascii="宋体" w:hAnsi="宋体" w:cs="Arial"/>
          <w:color w:val="auto"/>
          <w:sz w:val="32"/>
          <w:lang w:val="en-US" w:eastAsia="zh-CN"/>
        </w:rPr>
        <w:t>5</w:t>
      </w:r>
      <w:r>
        <w:rPr>
          <w:rFonts w:hint="eastAsia" w:ascii="宋体" w:hAnsi="宋体" w:cs="Arial"/>
          <w:color w:val="auto"/>
          <w:sz w:val="32"/>
        </w:rPr>
        <w:t>月</w:t>
      </w:r>
      <w:bookmarkStart w:id="0" w:name="_Toc11641050"/>
      <w:bookmarkStart w:id="1" w:name="_Toc25725118"/>
      <w:bookmarkStart w:id="2" w:name="_Toc372538149"/>
    </w:p>
    <w:p>
      <w:pPr>
        <w:spacing w:line="700" w:lineRule="exact"/>
        <w:jc w:val="center"/>
        <w:outlineLvl w:val="0"/>
        <w:rPr>
          <w:rStyle w:val="12"/>
          <w:rFonts w:hint="eastAsia" w:ascii="Arial" w:hAnsi="Arial" w:eastAsia="黑体" w:cstheme="minorBidi"/>
          <w:b/>
          <w:kern w:val="2"/>
          <w:sz w:val="32"/>
          <w:szCs w:val="22"/>
          <w:lang w:val="en-US" w:eastAsia="zh-CN" w:bidi="ar-SA"/>
        </w:rPr>
      </w:pPr>
      <w:r>
        <w:rPr>
          <w:rStyle w:val="12"/>
          <w:rFonts w:hint="eastAsia" w:ascii="Arial" w:hAnsi="Arial" w:eastAsia="黑体" w:cstheme="minorBidi"/>
          <w:b/>
          <w:kern w:val="2"/>
          <w:sz w:val="32"/>
          <w:szCs w:val="22"/>
          <w:lang w:val="en-US" w:eastAsia="zh-CN" w:bidi="ar-SA"/>
        </w:rPr>
        <w:t xml:space="preserve">第一篇  </w:t>
      </w:r>
      <w:bookmarkEnd w:id="0"/>
      <w:r>
        <w:rPr>
          <w:rStyle w:val="12"/>
          <w:rFonts w:hint="eastAsia" w:ascii="Arial" w:hAnsi="Arial" w:eastAsia="黑体" w:cstheme="minorBidi"/>
          <w:b/>
          <w:kern w:val="2"/>
          <w:sz w:val="32"/>
          <w:szCs w:val="22"/>
          <w:lang w:val="en-US" w:eastAsia="zh-CN" w:bidi="ar-SA"/>
        </w:rPr>
        <w:t>邀请书</w:t>
      </w:r>
      <w:bookmarkEnd w:id="1"/>
      <w:bookmarkEnd w:id="2"/>
    </w:p>
    <w:p>
      <w:pPr>
        <w:spacing w:line="312" w:lineRule="auto"/>
        <w:ind w:firstLine="480" w:firstLineChars="200"/>
        <w:rPr>
          <w:rFonts w:hint="eastAsia" w:ascii="宋体" w:hAnsi="宋体" w:cs="Arial"/>
          <w:sz w:val="24"/>
          <w:szCs w:val="24"/>
        </w:rPr>
      </w:pPr>
    </w:p>
    <w:p>
      <w:pPr>
        <w:spacing w:line="312" w:lineRule="auto"/>
        <w:ind w:firstLine="480" w:firstLineChars="200"/>
        <w:rPr>
          <w:rFonts w:hint="eastAsia" w:ascii="宋体" w:hAnsi="宋体" w:cs="Arial"/>
          <w:sz w:val="24"/>
          <w:szCs w:val="24"/>
        </w:rPr>
      </w:pP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我单位现就</w:t>
      </w:r>
      <w:r>
        <w:rPr>
          <w:rFonts w:hint="eastAsia" w:asciiTheme="minorEastAsia" w:hAnsiTheme="minorEastAsia" w:cstheme="minorEastAsia"/>
          <w:color w:val="auto"/>
          <w:sz w:val="24"/>
          <w:szCs w:val="24"/>
          <w:u w:val="single"/>
          <w:lang w:eastAsia="zh-CN"/>
        </w:rPr>
        <w:t>重庆中国三峡博物馆关键信息系统等保评测和商用密码应用安全性评估服务</w:t>
      </w:r>
      <w:r>
        <w:rPr>
          <w:rFonts w:hint="eastAsia" w:asciiTheme="minorEastAsia" w:hAnsiTheme="minorEastAsia" w:eastAsiaTheme="minorEastAsia" w:cstheme="minorEastAsia"/>
          <w:color w:val="auto"/>
          <w:sz w:val="24"/>
          <w:szCs w:val="24"/>
        </w:rPr>
        <w:t>项目进行询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采购，凡有意参加询比的供应商，请于公告发布之日起至报名截止时间之前，在</w:t>
      </w:r>
      <w:r>
        <w:rPr>
          <w:rFonts w:hint="eastAsia" w:asciiTheme="minorEastAsia" w:hAnsiTheme="minorEastAsia" w:cstheme="minorEastAsia"/>
          <w:color w:val="auto"/>
          <w:sz w:val="24"/>
          <w:szCs w:val="24"/>
          <w:lang w:val="en-US" w:eastAsia="zh-CN"/>
        </w:rPr>
        <w:t>重庆中国三峡博物馆官网</w:t>
      </w:r>
      <w:r>
        <w:rPr>
          <w:rFonts w:hint="eastAsia" w:asciiTheme="minorEastAsia" w:hAnsiTheme="minorEastAsia" w:eastAsiaTheme="minorEastAsia" w:cstheme="minorEastAsia"/>
          <w:color w:val="auto"/>
          <w:sz w:val="24"/>
          <w:szCs w:val="24"/>
        </w:rPr>
        <w:t>上下载查看本项目需求文件以及变更公告等询比前公布的所有项目资料，无论供应商下载查看与否，均视为已知晓所有询比实质性要求内容。</w:t>
      </w:r>
    </w:p>
    <w:p>
      <w:pPr>
        <w:keepNext w:val="0"/>
        <w:keepLines w:val="0"/>
        <w:pageBreakBefore w:val="0"/>
        <w:widowControl w:val="0"/>
        <w:numPr>
          <w:numId w:val="0"/>
        </w:numPr>
        <w:kinsoku/>
        <w:wordWrap/>
        <w:overflowPunct/>
        <w:topLinePunct w:val="0"/>
        <w:autoSpaceDE/>
        <w:autoSpaceDN/>
        <w:bidi w:val="0"/>
        <w:adjustRightInd/>
        <w:snapToGrid w:val="0"/>
        <w:spacing w:line="460" w:lineRule="exact"/>
        <w:ind w:left="567" w:lef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本项目编号：内26042</w:t>
      </w:r>
    </w:p>
    <w:p>
      <w:pPr>
        <w:keepNext w:val="0"/>
        <w:keepLines w:val="0"/>
        <w:pageBreakBefore w:val="0"/>
        <w:widowControl w:val="0"/>
        <w:numPr>
          <w:numId w:val="0"/>
        </w:numPr>
        <w:kinsoku/>
        <w:wordWrap/>
        <w:overflowPunct/>
        <w:topLinePunct w:val="0"/>
        <w:autoSpaceDE/>
        <w:autoSpaceDN/>
        <w:bidi w:val="0"/>
        <w:adjustRightInd/>
        <w:snapToGrid w:val="0"/>
        <w:spacing w:line="460" w:lineRule="exact"/>
        <w:ind w:left="567" w:lef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联系办法：</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采购联系人：李先生，电话，（023）63679109 ，13452915399；</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   项目联系人：刘先生，电话：02363679177，15922519263。</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567" w:leftChars="0"/>
        <w:textAlignment w:val="auto"/>
        <w:rPr>
          <w:rFonts w:hint="eastAsia" w:asciiTheme="minorEastAsia" w:hAnsiTheme="minorEastAsia" w:eastAsiaTheme="minorEastAsia" w:cstheme="minorEastAsia"/>
          <w:color w:val="auto"/>
          <w:sz w:val="24"/>
          <w:szCs w:val="24"/>
        </w:rPr>
      </w:pPr>
    </w:p>
    <w:p>
      <w:pPr>
        <w:numPr>
          <w:ilvl w:val="0"/>
          <w:numId w:val="0"/>
        </w:numPr>
        <w:snapToGrid w:val="0"/>
        <w:spacing w:line="560" w:lineRule="atLeast"/>
        <w:ind w:left="567" w:leftChars="0"/>
        <w:rPr>
          <w:rFonts w:hint="eastAsia" w:ascii="宋体" w:hAnsi="宋体" w:cs="Arial"/>
          <w:color w:val="auto"/>
          <w:sz w:val="24"/>
          <w:szCs w:val="24"/>
          <w:lang w:eastAsia="zh-CN"/>
        </w:rPr>
      </w:pPr>
    </w:p>
    <w:p>
      <w:pPr>
        <w:snapToGrid w:val="0"/>
        <w:spacing w:line="560" w:lineRule="atLeast"/>
        <w:rPr>
          <w:rFonts w:hint="eastAsia" w:ascii="宋体" w:hAnsi="宋体" w:cs="Arial"/>
          <w:sz w:val="24"/>
          <w:szCs w:val="24"/>
        </w:rPr>
      </w:pPr>
      <w:r>
        <w:rPr>
          <w:rFonts w:hint="eastAsia" w:ascii="宋体" w:hAnsi="宋体" w:cs="Arial"/>
          <w:sz w:val="24"/>
          <w:szCs w:val="24"/>
        </w:rPr>
        <w:t xml:space="preserve">    </w:t>
      </w:r>
    </w:p>
    <w:p>
      <w:pPr>
        <w:pStyle w:val="2"/>
        <w:jc w:val="center"/>
        <w:rPr>
          <w:rFonts w:hint="eastAsia" w:ascii="宋体" w:hAnsi="宋体" w:eastAsia="宋体" w:cs="Arial"/>
          <w:sz w:val="36"/>
        </w:rPr>
      </w:pPr>
      <w:r>
        <w:rPr>
          <w:rFonts w:hint="eastAsia" w:ascii="宋体" w:hAnsi="宋体" w:eastAsia="宋体" w:cs="Arial"/>
          <w:b w:val="0"/>
          <w:sz w:val="28"/>
        </w:rPr>
        <w:br w:type="page"/>
      </w:r>
      <w:bookmarkStart w:id="3" w:name="_Toc372538150"/>
      <w:r>
        <w:rPr>
          <w:rStyle w:val="12"/>
          <w:rFonts w:hint="eastAsia" w:ascii="Arial" w:hAnsi="Arial" w:eastAsia="黑体" w:cstheme="minorBidi"/>
          <w:b/>
          <w:kern w:val="2"/>
          <w:sz w:val="32"/>
          <w:szCs w:val="22"/>
          <w:lang w:val="en-US" w:eastAsia="zh-CN" w:bidi="ar-SA"/>
        </w:rPr>
        <w:t>第二篇  投标须知</w:t>
      </w:r>
      <w:bookmarkEnd w:id="3"/>
    </w:p>
    <w:p>
      <w:pPr>
        <w:pStyle w:val="4"/>
        <w:pageBreakBefore w:val="0"/>
        <w:kinsoku/>
        <w:wordWrap/>
        <w:overflowPunct/>
        <w:topLinePunct w:val="0"/>
        <w:autoSpaceDE/>
        <w:autoSpaceDN/>
        <w:bidi w:val="0"/>
        <w:adjustRightInd/>
        <w:spacing w:line="470" w:lineRule="exact"/>
        <w:ind w:left="0" w:leftChars="0"/>
        <w:textAlignment w:val="auto"/>
        <w:rPr>
          <w:rStyle w:val="12"/>
          <w:rFonts w:hint="eastAsia"/>
        </w:rPr>
      </w:pPr>
      <w:bookmarkStart w:id="4" w:name="_Toc372538151"/>
      <w:r>
        <w:rPr>
          <w:rStyle w:val="12"/>
          <w:rFonts w:hint="eastAsia"/>
        </w:rPr>
        <w:t>一、询</w:t>
      </w:r>
      <w:r>
        <w:rPr>
          <w:rStyle w:val="12"/>
          <w:rFonts w:hint="eastAsia"/>
          <w:lang w:val="en-US" w:eastAsia="zh-CN"/>
        </w:rPr>
        <w:t>比</w:t>
      </w:r>
      <w:r>
        <w:rPr>
          <w:rStyle w:val="12"/>
          <w:rFonts w:hint="eastAsia"/>
        </w:rPr>
        <w:t>费用</w:t>
      </w:r>
      <w:bookmarkEnd w:id="4"/>
    </w:p>
    <w:p>
      <w:pPr>
        <w:pageBreakBefore w:val="0"/>
        <w:kinsoku/>
        <w:wordWrap/>
        <w:overflowPunct/>
        <w:topLinePunct w:val="0"/>
        <w:autoSpaceDE/>
        <w:autoSpaceDN/>
        <w:bidi w:val="0"/>
        <w:adjustRightInd/>
        <w:snapToGrid w:val="0"/>
        <w:spacing w:line="470" w:lineRule="exact"/>
        <w:ind w:left="0" w:leftChars="0"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标的供应商应承担其编制</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标文件与递交</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标文件所涉及的一切费用，不论采购结果如何，采购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在任何情况下无义务也无责任承担这些费用。</w:t>
      </w:r>
    </w:p>
    <w:p>
      <w:pPr>
        <w:pStyle w:val="4"/>
        <w:pageBreakBefore w:val="0"/>
        <w:kinsoku/>
        <w:wordWrap/>
        <w:overflowPunct/>
        <w:topLinePunct w:val="0"/>
        <w:autoSpaceDE/>
        <w:autoSpaceDN/>
        <w:bidi w:val="0"/>
        <w:adjustRightInd/>
        <w:spacing w:line="470" w:lineRule="exact"/>
        <w:ind w:left="0" w:leftChars="0"/>
        <w:textAlignment w:val="auto"/>
        <w:rPr>
          <w:rStyle w:val="12"/>
          <w:rFonts w:hint="eastAsia"/>
        </w:rPr>
      </w:pPr>
      <w:bookmarkStart w:id="5" w:name="_Toc372538152"/>
      <w:r>
        <w:rPr>
          <w:rStyle w:val="12"/>
          <w:rFonts w:hint="eastAsia"/>
        </w:rPr>
        <w:t>二、</w:t>
      </w:r>
      <w:r>
        <w:rPr>
          <w:rStyle w:val="12"/>
          <w:rFonts w:hint="eastAsia"/>
          <w:lang w:eastAsia="zh-CN"/>
        </w:rPr>
        <w:t>投</w:t>
      </w:r>
      <w:r>
        <w:rPr>
          <w:rStyle w:val="12"/>
          <w:rFonts w:hint="eastAsia"/>
        </w:rPr>
        <w:t>标</w:t>
      </w:r>
      <w:r>
        <w:rPr>
          <w:rStyle w:val="12"/>
          <w:rFonts w:hint="eastAsia"/>
          <w:lang w:eastAsia="zh-CN"/>
        </w:rPr>
        <w:t>单位</w:t>
      </w:r>
      <w:r>
        <w:rPr>
          <w:rStyle w:val="12"/>
          <w:rFonts w:hint="eastAsia"/>
        </w:rPr>
        <w:t>资质</w:t>
      </w:r>
      <w:bookmarkEnd w:id="5"/>
    </w:p>
    <w:p>
      <w:pPr>
        <w:pageBreakBefore w:val="0"/>
        <w:kinsoku/>
        <w:wordWrap/>
        <w:overflowPunct/>
        <w:topLinePunct w:val="0"/>
        <w:autoSpaceDE/>
        <w:autoSpaceDN/>
        <w:bidi w:val="0"/>
        <w:adjustRightInd/>
        <w:snapToGrid w:val="0"/>
        <w:spacing w:line="47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标的供应商是指向采购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提供货物、工程或者服务的法人、其他组织或者自然人，简称供应商或</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w:t>
      </w:r>
    </w:p>
    <w:p>
      <w:pPr>
        <w:pageBreakBefore w:val="0"/>
        <w:kinsoku/>
        <w:wordWrap/>
        <w:overflowPunct/>
        <w:topLinePunct w:val="0"/>
        <w:autoSpaceDE/>
        <w:autoSpaceDN/>
        <w:bidi w:val="0"/>
        <w:adjustRightInd/>
        <w:snapToGrid w:val="0"/>
        <w:spacing w:line="470" w:lineRule="exact"/>
        <w:ind w:left="0" w:leftChars="0"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合格的</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应符合下列资格条件：</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rPr>
      </w:pPr>
      <w:r>
        <w:rPr>
          <w:rFonts w:hint="eastAsia" w:ascii="宋体" w:hAnsi="宋体" w:cs="Arial"/>
          <w:sz w:val="24"/>
          <w:szCs w:val="24"/>
        </w:rPr>
        <w:t>（一）一般资格条件</w:t>
      </w:r>
    </w:p>
    <w:p>
      <w:pPr>
        <w:pageBreakBefore w:val="0"/>
        <w:kinsoku/>
        <w:wordWrap/>
        <w:overflowPunct/>
        <w:topLinePunct w:val="0"/>
        <w:autoSpaceDE/>
        <w:autoSpaceDN/>
        <w:bidi w:val="0"/>
        <w:adjustRightInd/>
        <w:snapToGrid w:val="0"/>
        <w:spacing w:line="470" w:lineRule="exact"/>
        <w:ind w:left="0" w:leftChars="0" w:firstLine="573"/>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具有独立承担民事责任的能力；</w:t>
      </w:r>
    </w:p>
    <w:p>
      <w:pPr>
        <w:pageBreakBefore w:val="0"/>
        <w:kinsoku/>
        <w:wordWrap/>
        <w:overflowPunct/>
        <w:topLinePunct w:val="0"/>
        <w:autoSpaceDE/>
        <w:autoSpaceDN/>
        <w:bidi w:val="0"/>
        <w:adjustRightInd/>
        <w:snapToGrid w:val="0"/>
        <w:spacing w:line="470" w:lineRule="exact"/>
        <w:ind w:left="0" w:leftChars="0"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具有良好的商业信誉和健全的财务会计制度；</w:t>
      </w:r>
    </w:p>
    <w:p>
      <w:pPr>
        <w:pageBreakBefore w:val="0"/>
        <w:kinsoku/>
        <w:wordWrap/>
        <w:overflowPunct/>
        <w:topLinePunct w:val="0"/>
        <w:autoSpaceDE/>
        <w:autoSpaceDN/>
        <w:bidi w:val="0"/>
        <w:adjustRightInd/>
        <w:snapToGrid w:val="0"/>
        <w:spacing w:line="470" w:lineRule="exact"/>
        <w:ind w:left="0" w:leftChars="0"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具有履行合同所必须的设备和专业技术能力；</w:t>
      </w:r>
    </w:p>
    <w:p>
      <w:pPr>
        <w:pageBreakBefore w:val="0"/>
        <w:kinsoku/>
        <w:wordWrap/>
        <w:overflowPunct/>
        <w:topLinePunct w:val="0"/>
        <w:autoSpaceDE/>
        <w:autoSpaceDN/>
        <w:bidi w:val="0"/>
        <w:adjustRightInd/>
        <w:snapToGrid w:val="0"/>
        <w:spacing w:line="470" w:lineRule="exact"/>
        <w:ind w:left="0" w:leftChars="0"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有依法缴纳税收的良好记录；</w:t>
      </w:r>
    </w:p>
    <w:p>
      <w:pPr>
        <w:pageBreakBefore w:val="0"/>
        <w:kinsoku/>
        <w:wordWrap/>
        <w:overflowPunct/>
        <w:topLinePunct w:val="0"/>
        <w:autoSpaceDE/>
        <w:autoSpaceDN/>
        <w:bidi w:val="0"/>
        <w:adjustRightInd/>
        <w:snapToGrid w:val="0"/>
        <w:spacing w:line="470" w:lineRule="exact"/>
        <w:ind w:left="0" w:leftChars="0"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参加政府采购活动近三年内，在经营活动中没有重大违法记录；</w:t>
      </w:r>
    </w:p>
    <w:p>
      <w:pPr>
        <w:pageBreakBefore w:val="0"/>
        <w:kinsoku/>
        <w:wordWrap/>
        <w:overflowPunct/>
        <w:topLinePunct w:val="0"/>
        <w:autoSpaceDE/>
        <w:autoSpaceDN/>
        <w:bidi w:val="0"/>
        <w:adjustRightInd/>
        <w:snapToGrid w:val="0"/>
        <w:spacing w:line="470" w:lineRule="exact"/>
        <w:ind w:left="0" w:leftChars="0" w:firstLine="573"/>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法律、行政法规规定的其他条件</w:t>
      </w:r>
      <w:r>
        <w:rPr>
          <w:rFonts w:hint="eastAsia" w:asciiTheme="minorEastAsia" w:hAnsiTheme="minorEastAsia" w:cstheme="minorEastAsia"/>
          <w:sz w:val="24"/>
          <w:szCs w:val="24"/>
          <w:lang w:eastAsia="zh-CN"/>
        </w:rPr>
        <w:t>。</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宋体" w:hAnsi="宋体" w:cs="Arial"/>
          <w:sz w:val="24"/>
          <w:szCs w:val="24"/>
        </w:rPr>
      </w:pPr>
      <w:r>
        <w:rPr>
          <w:rFonts w:hint="eastAsia" w:ascii="宋体" w:hAnsi="宋体" w:cs="Arial"/>
          <w:sz w:val="24"/>
          <w:szCs w:val="24"/>
        </w:rPr>
        <w:t>（二）特定资格条件</w:t>
      </w:r>
    </w:p>
    <w:p>
      <w:pPr>
        <w:pageBreakBefore w:val="0"/>
        <w:kinsoku/>
        <w:wordWrap/>
        <w:overflowPunct/>
        <w:topLinePunct w:val="0"/>
        <w:autoSpaceDE/>
        <w:autoSpaceDN/>
        <w:bidi w:val="0"/>
        <w:adjustRightInd/>
        <w:snapToGrid w:val="0"/>
        <w:spacing w:line="470" w:lineRule="exact"/>
        <w:ind w:left="0" w:leftChars="0" w:firstLine="573"/>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投标单位应具备网络安全服务认证证书等级保护测评服务认证资质（提供证书复印件和网络安全等级保护网https://www.djbh.net/网上截图，并加盖服务商公章，且截图中的单位名称须与营业执照单位名称一致。）</w:t>
      </w:r>
    </w:p>
    <w:p>
      <w:pPr>
        <w:pageBreakBefore w:val="0"/>
        <w:kinsoku/>
        <w:wordWrap/>
        <w:overflowPunct/>
        <w:topLinePunct w:val="0"/>
        <w:autoSpaceDE/>
        <w:autoSpaceDN/>
        <w:bidi w:val="0"/>
        <w:adjustRightInd/>
        <w:snapToGrid w:val="0"/>
        <w:spacing w:line="470" w:lineRule="exact"/>
        <w:ind w:left="0" w:leftChars="0" w:firstLine="573"/>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投标单位应具备商用密码检测机构资质证书（业务范围包含商业密码应用安全性评估）。</w:t>
      </w:r>
    </w:p>
    <w:p>
      <w:pPr>
        <w:pStyle w:val="4"/>
        <w:pageBreakBefore w:val="0"/>
        <w:kinsoku/>
        <w:wordWrap/>
        <w:overflowPunct/>
        <w:topLinePunct w:val="0"/>
        <w:autoSpaceDE/>
        <w:autoSpaceDN/>
        <w:bidi w:val="0"/>
        <w:adjustRightInd/>
        <w:spacing w:line="470" w:lineRule="exact"/>
        <w:ind w:left="0" w:leftChars="0"/>
        <w:textAlignment w:val="auto"/>
        <w:rPr>
          <w:rStyle w:val="12"/>
          <w:rFonts w:hint="eastAsia"/>
          <w:lang w:eastAsia="zh-CN"/>
        </w:rPr>
      </w:pPr>
      <w:r>
        <w:rPr>
          <w:rStyle w:val="12"/>
          <w:rFonts w:hint="eastAsia"/>
          <w:lang w:val="en-US" w:eastAsia="zh-CN"/>
        </w:rPr>
        <w:t>三、</w:t>
      </w:r>
      <w:r>
        <w:rPr>
          <w:rStyle w:val="12"/>
          <w:rFonts w:hint="eastAsia"/>
          <w:lang w:eastAsia="zh-CN"/>
        </w:rPr>
        <w:t>现场踏勘</w:t>
      </w:r>
    </w:p>
    <w:p>
      <w:pPr>
        <w:pageBreakBefore w:val="0"/>
        <w:kinsoku/>
        <w:wordWrap/>
        <w:overflowPunct/>
        <w:topLinePunct w:val="0"/>
        <w:autoSpaceDE/>
        <w:autoSpaceDN/>
        <w:bidi w:val="0"/>
        <w:adjustRightInd/>
        <w:snapToGrid w:val="0"/>
        <w:spacing w:line="470" w:lineRule="exact"/>
        <w:ind w:left="0" w:leftChars="0" w:firstLine="573"/>
        <w:textAlignment w:val="auto"/>
        <w:rPr>
          <w:rFonts w:hint="eastAsia" w:asciiTheme="minorEastAsia" w:hAnsiTheme="minorEastAsia" w:eastAsiaTheme="minorEastAsia" w:cstheme="minorEastAsia"/>
          <w:sz w:val="24"/>
          <w:szCs w:val="24"/>
          <w:lang w:val="en-US" w:eastAsia="zh-CN"/>
        </w:rPr>
      </w:pPr>
      <w:r>
        <w:rPr>
          <w:rFonts w:hint="eastAsia" w:ascii="宋体" w:hAnsi="宋体" w:cs="宋体"/>
          <w:color w:val="auto"/>
          <w:sz w:val="24"/>
          <w:szCs w:val="24"/>
        </w:rPr>
        <w:t>无需</w:t>
      </w:r>
      <w:r>
        <w:rPr>
          <w:rFonts w:hint="eastAsia" w:asciiTheme="minorEastAsia" w:hAnsiTheme="minorEastAsia" w:eastAsiaTheme="minorEastAsia" w:cstheme="minorEastAsia"/>
          <w:color w:val="auto"/>
          <w:sz w:val="24"/>
          <w:szCs w:val="24"/>
          <w:lang w:val="en-US" w:eastAsia="zh-CN"/>
        </w:rPr>
        <w:t>。</w:t>
      </w:r>
    </w:p>
    <w:p>
      <w:pPr>
        <w:pStyle w:val="4"/>
        <w:pageBreakBefore w:val="0"/>
        <w:kinsoku/>
        <w:wordWrap/>
        <w:overflowPunct/>
        <w:topLinePunct w:val="0"/>
        <w:autoSpaceDE/>
        <w:autoSpaceDN/>
        <w:bidi w:val="0"/>
        <w:adjustRightInd/>
        <w:spacing w:line="470" w:lineRule="exact"/>
        <w:ind w:left="0" w:leftChars="0"/>
        <w:textAlignment w:val="auto"/>
        <w:rPr>
          <w:rStyle w:val="12"/>
          <w:rFonts w:hint="eastAsia"/>
          <w:lang w:eastAsia="zh-CN"/>
        </w:rPr>
      </w:pPr>
      <w:bookmarkStart w:id="6" w:name="_Toc179714296"/>
      <w:bookmarkStart w:id="7" w:name="_Toc372538153"/>
      <w:bookmarkStart w:id="8" w:name="_Toc102227317"/>
      <w:bookmarkStart w:id="9" w:name="_Toc187655629"/>
      <w:r>
        <w:rPr>
          <w:rStyle w:val="12"/>
          <w:rFonts w:hint="eastAsia"/>
          <w:lang w:eastAsia="zh-CN"/>
        </w:rPr>
        <w:t>四、询比采购文件</w:t>
      </w:r>
      <w:bookmarkEnd w:id="6"/>
      <w:bookmarkEnd w:id="7"/>
      <w:bookmarkEnd w:id="8"/>
      <w:bookmarkEnd w:id="9"/>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文件由邀请书、</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须知、采购项目技术要求、商务要求</w:t>
      </w:r>
      <w:r>
        <w:rPr>
          <w:rFonts w:hint="eastAsia" w:asciiTheme="minorEastAsia" w:hAnsiTheme="minorEastAsia" w:eastAsiaTheme="minorEastAsia" w:cstheme="minorEastAsia"/>
          <w:sz w:val="24"/>
          <w:szCs w:val="24"/>
          <w:lang w:eastAsia="zh-CN"/>
        </w:rPr>
        <w:t>、合同关键条款</w:t>
      </w:r>
      <w:r>
        <w:rPr>
          <w:rFonts w:hint="eastAsia" w:asciiTheme="minorEastAsia" w:hAnsiTheme="minorEastAsia" w:eastAsiaTheme="minorEastAsia" w:cstheme="minorEastAsia"/>
          <w:sz w:val="24"/>
          <w:szCs w:val="24"/>
        </w:rPr>
        <w:t>和供应商编制响应文件要求六部分组成。</w:t>
      </w:r>
    </w:p>
    <w:p>
      <w:pPr>
        <w:pageBreakBefore w:val="0"/>
        <w:kinsoku/>
        <w:wordWrap/>
        <w:overflowPunct/>
        <w:topLinePunct w:val="0"/>
        <w:autoSpaceDE/>
        <w:autoSpaceDN/>
        <w:bidi w:val="0"/>
        <w:adjustRightInd/>
        <w:snapToGrid w:val="0"/>
        <w:spacing w:line="470" w:lineRule="exact"/>
        <w:ind w:left="0" w:leftChars="0"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所作的一切有效的</w:t>
      </w:r>
      <w:r>
        <w:rPr>
          <w:rFonts w:hint="eastAsia" w:asciiTheme="minorEastAsia" w:hAnsiTheme="minorEastAsia" w:eastAsiaTheme="minorEastAsia" w:cstheme="minorEastAsia"/>
          <w:sz w:val="24"/>
          <w:szCs w:val="24"/>
          <w:lang w:eastAsia="zh-CN"/>
        </w:rPr>
        <w:t>公告、</w:t>
      </w:r>
      <w:r>
        <w:rPr>
          <w:rFonts w:hint="eastAsia" w:asciiTheme="minorEastAsia" w:hAnsiTheme="minorEastAsia" w:eastAsiaTheme="minorEastAsia" w:cstheme="minorEastAsia"/>
          <w:sz w:val="24"/>
          <w:szCs w:val="24"/>
        </w:rPr>
        <w:t>书面通知、修改及补充，都是询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文件不可分割的部分。</w:t>
      </w:r>
    </w:p>
    <w:p>
      <w:pPr>
        <w:pageBreakBefore w:val="0"/>
        <w:kinsoku/>
        <w:wordWrap/>
        <w:overflowPunct/>
        <w:topLinePunct w:val="0"/>
        <w:autoSpaceDE/>
        <w:autoSpaceDN/>
        <w:bidi w:val="0"/>
        <w:adjustRightInd/>
        <w:spacing w:line="47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采购文件的解释</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eastAsia="zh-CN"/>
        </w:rPr>
        <w:t>投</w:t>
      </w:r>
      <w:r>
        <w:rPr>
          <w:rFonts w:hint="eastAsia" w:asciiTheme="minorEastAsia" w:hAnsiTheme="minorEastAsia" w:eastAsiaTheme="minorEastAsia" w:cstheme="minorEastAsia"/>
          <w:color w:val="auto"/>
          <w:sz w:val="24"/>
          <w:szCs w:val="24"/>
        </w:rPr>
        <w:t>标</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如对询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文件有疑问，必须以书面形式在</w:t>
      </w:r>
      <w:r>
        <w:rPr>
          <w:rFonts w:hint="eastAsia" w:asciiTheme="minorEastAsia" w:hAnsiTheme="minorEastAsia" w:eastAsiaTheme="minorEastAsia" w:cstheme="minorEastAsia"/>
          <w:color w:val="auto"/>
          <w:sz w:val="24"/>
          <w:szCs w:val="24"/>
          <w:lang w:eastAsia="zh-CN"/>
        </w:rPr>
        <w:t>递交投标文件</w:t>
      </w:r>
      <w:r>
        <w:rPr>
          <w:rFonts w:hint="eastAsia" w:asciiTheme="minorEastAsia" w:hAnsiTheme="minorEastAsia" w:eastAsiaTheme="minorEastAsia" w:cstheme="minorEastAsia"/>
          <w:color w:val="auto"/>
          <w:sz w:val="24"/>
          <w:szCs w:val="24"/>
        </w:rPr>
        <w:t>截止时间一个工作日前向采购</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要求澄清，</w:t>
      </w: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可视具体情况做出处理或答复</w:t>
      </w:r>
      <w:r>
        <w:rPr>
          <w:rFonts w:hint="eastAsia" w:asciiTheme="minorEastAsia" w:hAnsiTheme="minorEastAsia" w:eastAsiaTheme="minorEastAsia" w:cstheme="minorEastAsia"/>
          <w:sz w:val="24"/>
          <w:szCs w:val="24"/>
          <w:lang w:eastAsia="zh-CN"/>
        </w:rPr>
        <w:t>，处理或者答复发布在</w:t>
      </w:r>
      <w:r>
        <w:rPr>
          <w:rFonts w:hint="eastAsia" w:asciiTheme="minorEastAsia" w:hAnsiTheme="minorEastAsia" w:cstheme="minorEastAsia"/>
          <w:sz w:val="24"/>
          <w:szCs w:val="24"/>
          <w:lang w:val="en-US" w:eastAsia="zh-CN"/>
        </w:rPr>
        <w:t>重庆中国三峡博物馆官网</w:t>
      </w:r>
      <w:r>
        <w:rPr>
          <w:rFonts w:hint="eastAsia" w:asciiTheme="minorEastAsia" w:hAnsiTheme="minorEastAsia" w:eastAsiaTheme="minorEastAsia" w:cstheme="minorEastAsia"/>
          <w:sz w:val="24"/>
          <w:szCs w:val="24"/>
          <w:lang w:eastAsia="zh-CN"/>
        </w:rPr>
        <w:t>上。</w:t>
      </w:r>
      <w:r>
        <w:rPr>
          <w:rFonts w:hint="eastAsia" w:asciiTheme="minorEastAsia" w:hAnsiTheme="minorEastAsia" w:eastAsiaTheme="minorEastAsia" w:cstheme="minorEastAsia"/>
          <w:sz w:val="24"/>
          <w:szCs w:val="24"/>
        </w:rPr>
        <w:t>如</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未提出疑问</w:t>
      </w:r>
      <w:r>
        <w:rPr>
          <w:rFonts w:hint="eastAsia" w:asciiTheme="minorEastAsia" w:hAnsiTheme="minorEastAsia" w:eastAsiaTheme="minorEastAsia" w:cstheme="minorEastAsia"/>
          <w:sz w:val="24"/>
          <w:szCs w:val="24"/>
          <w:lang w:eastAsia="zh-CN"/>
        </w:rPr>
        <w:t>或者未按前述要求提出</w:t>
      </w:r>
      <w:r>
        <w:rPr>
          <w:rFonts w:hint="eastAsia" w:asciiTheme="minorEastAsia" w:hAnsiTheme="minorEastAsia" w:eastAsiaTheme="minorEastAsia" w:cstheme="minorEastAsia"/>
          <w:sz w:val="24"/>
          <w:szCs w:val="24"/>
        </w:rPr>
        <w:t>，视为完全理解并同意本采购文件，即</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已详细阅读全部文件资料，完全理解</w:t>
      </w:r>
      <w:r>
        <w:rPr>
          <w:rFonts w:hint="eastAsia" w:asciiTheme="minorEastAsia" w:hAnsiTheme="minorEastAsia" w:eastAsiaTheme="minorEastAsia" w:cstheme="minorEastAsia"/>
          <w:sz w:val="24"/>
          <w:szCs w:val="24"/>
          <w:lang w:eastAsia="zh-CN"/>
        </w:rPr>
        <w:t>本</w:t>
      </w:r>
      <w:r>
        <w:rPr>
          <w:rFonts w:hint="eastAsia" w:asciiTheme="minorEastAsia" w:hAnsiTheme="minorEastAsia" w:eastAsiaTheme="minorEastAsia" w:cstheme="minorEastAsia"/>
          <w:sz w:val="24"/>
          <w:szCs w:val="24"/>
        </w:rPr>
        <w:t>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文件所有条款内容并同意放弃对这方面有不明白及误解的权利。</w:t>
      </w:r>
    </w:p>
    <w:p>
      <w:pPr>
        <w:pStyle w:val="4"/>
        <w:pageBreakBefore w:val="0"/>
        <w:kinsoku/>
        <w:wordWrap/>
        <w:overflowPunct/>
        <w:topLinePunct w:val="0"/>
        <w:autoSpaceDE/>
        <w:autoSpaceDN/>
        <w:bidi w:val="0"/>
        <w:adjustRightInd/>
        <w:spacing w:line="470" w:lineRule="exact"/>
        <w:ind w:left="0" w:leftChars="0"/>
        <w:textAlignment w:val="auto"/>
        <w:rPr>
          <w:rStyle w:val="12"/>
          <w:rFonts w:hint="eastAsia"/>
          <w:lang w:eastAsia="zh-CN"/>
        </w:rPr>
      </w:pPr>
      <w:bookmarkStart w:id="10" w:name="_Toc372538154"/>
      <w:r>
        <w:rPr>
          <w:rStyle w:val="12"/>
          <w:rFonts w:hint="eastAsia"/>
          <w:lang w:eastAsia="zh-CN"/>
        </w:rPr>
        <w:t>五、响应文件要求</w:t>
      </w:r>
      <w:bookmarkEnd w:id="10"/>
    </w:p>
    <w:p>
      <w:pPr>
        <w:pageBreakBefore w:val="0"/>
        <w:kinsoku/>
        <w:wordWrap/>
        <w:overflowPunct/>
        <w:topLinePunct w:val="0"/>
        <w:autoSpaceDE/>
        <w:autoSpaceDN/>
        <w:bidi w:val="0"/>
        <w:adjustRightInd/>
        <w:snapToGrid w:val="0"/>
        <w:spacing w:line="470" w:lineRule="exact"/>
        <w:ind w:left="0" w:lef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（一）响应文件由以下部分组成，包括：</w:t>
      </w:r>
    </w:p>
    <w:p>
      <w:pPr>
        <w:pageBreakBefore w:val="0"/>
        <w:kinsoku/>
        <w:wordWrap/>
        <w:overflowPunct/>
        <w:topLinePunct w:val="0"/>
        <w:autoSpaceDE/>
        <w:autoSpaceDN/>
        <w:bidi w:val="0"/>
        <w:adjustRightInd/>
        <w:snapToGrid w:val="0"/>
        <w:spacing w:line="470" w:lineRule="exact"/>
        <w:ind w:left="0" w:leftChars="0"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资格文件</w:t>
      </w:r>
    </w:p>
    <w:p>
      <w:pPr>
        <w:pageBreakBefore w:val="0"/>
        <w:kinsoku/>
        <w:wordWrap/>
        <w:overflowPunct/>
        <w:topLinePunct w:val="0"/>
        <w:autoSpaceDE/>
        <w:autoSpaceDN/>
        <w:bidi w:val="0"/>
        <w:adjustRightInd/>
        <w:snapToGrid w:val="0"/>
        <w:spacing w:line="470" w:lineRule="exact"/>
        <w:ind w:left="0" w:leftChars="0"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(1)营业执照或者法人证书复印件</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特定资格条件</w:t>
      </w:r>
      <w:r>
        <w:rPr>
          <w:rFonts w:hint="eastAsia" w:asciiTheme="minorEastAsia" w:hAnsiTheme="minorEastAsia" w:eastAsiaTheme="minorEastAsia" w:cstheme="minorEastAsia"/>
          <w:color w:val="auto"/>
          <w:sz w:val="24"/>
          <w:szCs w:val="24"/>
        </w:rPr>
        <w:t>复印件</w:t>
      </w:r>
    </w:p>
    <w:p>
      <w:pPr>
        <w:pageBreakBefore w:val="0"/>
        <w:kinsoku/>
        <w:wordWrap/>
        <w:overflowPunct/>
        <w:topLinePunct w:val="0"/>
        <w:autoSpaceDE/>
        <w:autoSpaceDN/>
        <w:bidi w:val="0"/>
        <w:adjustRightInd/>
        <w:snapToGrid w:val="0"/>
        <w:spacing w:line="470" w:lineRule="exact"/>
        <w:ind w:left="0" w:leftChars="0"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法定代表人身份证明书（格式，法定代表人参与投标）或者法定代表人授权委托书（格式，被授权人参与投标）</w:t>
      </w:r>
    </w:p>
    <w:p>
      <w:pPr>
        <w:pageBreakBefore w:val="0"/>
        <w:kinsoku/>
        <w:wordWrap/>
        <w:overflowPunct/>
        <w:topLinePunct w:val="0"/>
        <w:autoSpaceDE/>
        <w:autoSpaceDN/>
        <w:bidi w:val="0"/>
        <w:adjustRightInd/>
        <w:snapToGrid w:val="0"/>
        <w:spacing w:line="470" w:lineRule="exact"/>
        <w:ind w:left="0" w:lef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）诚信声明书</w:t>
      </w:r>
    </w:p>
    <w:p>
      <w:pPr>
        <w:pageBreakBefore w:val="0"/>
        <w:kinsoku/>
        <w:wordWrap/>
        <w:overflowPunct/>
        <w:topLinePunct w:val="0"/>
        <w:autoSpaceDE/>
        <w:autoSpaceDN/>
        <w:bidi w:val="0"/>
        <w:adjustRightInd/>
        <w:snapToGrid w:val="0"/>
        <w:spacing w:line="470" w:lineRule="exact"/>
        <w:ind w:left="0" w:lef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技术及商务部分</w:t>
      </w:r>
    </w:p>
    <w:p>
      <w:pPr>
        <w:pageBreakBefore w:val="0"/>
        <w:kinsoku/>
        <w:wordWrap/>
        <w:overflowPunct/>
        <w:topLinePunct w:val="0"/>
        <w:autoSpaceDE/>
        <w:autoSpaceDN/>
        <w:bidi w:val="0"/>
        <w:adjustRightInd/>
        <w:snapToGrid w:val="0"/>
        <w:spacing w:line="470" w:lineRule="exact"/>
        <w:ind w:left="0" w:leftChars="0"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（1）技术部分 </w:t>
      </w:r>
    </w:p>
    <w:p>
      <w:pPr>
        <w:pageBreakBefore w:val="0"/>
        <w:kinsoku/>
        <w:wordWrap/>
        <w:overflowPunct/>
        <w:topLinePunct w:val="0"/>
        <w:autoSpaceDE/>
        <w:autoSpaceDN/>
        <w:bidi w:val="0"/>
        <w:adjustRightInd/>
        <w:snapToGrid w:val="0"/>
        <w:spacing w:line="470" w:lineRule="exact"/>
        <w:ind w:left="0" w:leftChars="0"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（2）商务部分  </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经济文件</w:t>
      </w:r>
    </w:p>
    <w:p>
      <w:pPr>
        <w:pageBreakBefore w:val="0"/>
        <w:kinsoku/>
        <w:wordWrap/>
        <w:overflowPunct/>
        <w:topLinePunct w:val="0"/>
        <w:autoSpaceDE/>
        <w:autoSpaceDN/>
        <w:bidi w:val="0"/>
        <w:adjustRightInd/>
        <w:snapToGrid w:val="0"/>
        <w:spacing w:line="470" w:lineRule="exact"/>
        <w:ind w:left="0" w:lef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（1）报价函</w:t>
      </w:r>
    </w:p>
    <w:p>
      <w:pPr>
        <w:pageBreakBefore w:val="0"/>
        <w:kinsoku/>
        <w:wordWrap/>
        <w:overflowPunct/>
        <w:topLinePunct w:val="0"/>
        <w:autoSpaceDE/>
        <w:autoSpaceDN/>
        <w:bidi w:val="0"/>
        <w:adjustRightInd/>
        <w:snapToGrid w:val="0"/>
        <w:spacing w:line="47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明细报价表</w:t>
      </w:r>
    </w:p>
    <w:p>
      <w:pPr>
        <w:pageBreakBefore w:val="0"/>
        <w:kinsoku/>
        <w:wordWrap/>
        <w:overflowPunct/>
        <w:topLinePunct w:val="0"/>
        <w:autoSpaceDE/>
        <w:autoSpaceDN/>
        <w:bidi w:val="0"/>
        <w:adjustRightInd/>
        <w:snapToGrid w:val="0"/>
        <w:spacing w:line="470" w:lineRule="exact"/>
        <w:ind w:left="0" w:lef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其他文件（不作为必要要件）</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z w:val="24"/>
          <w:szCs w:val="24"/>
        </w:rPr>
        <w:t>投标单位提供与评分有关的内容或者投标单位认为需要提供的其他文件。</w:t>
      </w:r>
    </w:p>
    <w:p>
      <w:pPr>
        <w:pStyle w:val="4"/>
        <w:pageBreakBefore w:val="0"/>
        <w:numPr>
          <w:ilvl w:val="0"/>
          <w:numId w:val="1"/>
        </w:numPr>
        <w:tabs>
          <w:tab w:val="left" w:pos="777"/>
          <w:tab w:val="left" w:pos="852"/>
        </w:tabs>
        <w:kinsoku/>
        <w:wordWrap/>
        <w:overflowPunct/>
        <w:topLinePunct w:val="0"/>
        <w:autoSpaceDE/>
        <w:autoSpaceDN/>
        <w:bidi w:val="0"/>
        <w:adjustRightInd/>
        <w:spacing w:line="47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以上响应文件由投标单位以</w:t>
      </w:r>
      <w:r>
        <w:rPr>
          <w:rFonts w:hint="eastAsia" w:asciiTheme="minorEastAsia" w:hAnsiTheme="minorEastAsia" w:eastAsiaTheme="minorEastAsia" w:cstheme="minorEastAsia"/>
          <w:color w:val="FF0000"/>
          <w:sz w:val="24"/>
          <w:szCs w:val="24"/>
        </w:rPr>
        <w:t>PDF格式</w:t>
      </w:r>
      <w:r>
        <w:rPr>
          <w:rFonts w:hint="eastAsia" w:asciiTheme="minorEastAsia" w:hAnsiTheme="minorEastAsia" w:eastAsiaTheme="minorEastAsia" w:cstheme="minorEastAsia"/>
          <w:sz w:val="24"/>
          <w:szCs w:val="24"/>
        </w:rPr>
        <w:t>上传。</w:t>
      </w:r>
    </w:p>
    <w:p>
      <w:pPr>
        <w:pStyle w:val="4"/>
        <w:pageBreakBefore w:val="0"/>
        <w:kinsoku/>
        <w:wordWrap/>
        <w:overflowPunct/>
        <w:topLinePunct w:val="0"/>
        <w:autoSpaceDE/>
        <w:autoSpaceDN/>
        <w:bidi w:val="0"/>
        <w:adjustRightInd/>
        <w:spacing w:line="470" w:lineRule="exact"/>
        <w:ind w:left="0" w:leftChars="0"/>
        <w:textAlignment w:val="auto"/>
        <w:rPr>
          <w:rStyle w:val="12"/>
          <w:rFonts w:hint="eastAsia"/>
          <w:lang w:eastAsia="zh-CN"/>
        </w:rPr>
      </w:pPr>
      <w:r>
        <w:rPr>
          <w:rStyle w:val="12"/>
          <w:rFonts w:hint="eastAsia"/>
          <w:lang w:eastAsia="zh-CN"/>
        </w:rPr>
        <w:t>六、响应文件的真实性</w:t>
      </w:r>
    </w:p>
    <w:p>
      <w:pPr>
        <w:pStyle w:val="10"/>
        <w:pageBreakBefore w:val="0"/>
        <w:shd w:val="clear" w:color="auto" w:fill="FFFFFF"/>
        <w:kinsoku/>
        <w:wordWrap/>
        <w:overflowPunct/>
        <w:topLinePunct w:val="0"/>
        <w:autoSpaceDE/>
        <w:autoSpaceDN/>
        <w:bidi w:val="0"/>
        <w:adjustRightInd/>
        <w:spacing w:before="0" w:beforeAutospacing="0" w:after="0" w:afterAutospacing="0" w:line="470" w:lineRule="exact"/>
        <w:ind w:left="0" w:leftChars="0" w:right="30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投标单位提供的投标材料要求真实可靠，采购单位可对投标材料真实性进行核查，如有虚假，采购单位取消中标单位中标资格或者与中标单位解除合同。中标单位赔偿由此造成采购单位的损失。</w:t>
      </w:r>
      <w:bookmarkStart w:id="11" w:name="_Toc372538155"/>
    </w:p>
    <w:p>
      <w:pPr>
        <w:pStyle w:val="4"/>
        <w:pageBreakBefore w:val="0"/>
        <w:kinsoku/>
        <w:wordWrap/>
        <w:overflowPunct/>
        <w:topLinePunct w:val="0"/>
        <w:autoSpaceDE/>
        <w:autoSpaceDN/>
        <w:bidi w:val="0"/>
        <w:adjustRightInd/>
        <w:spacing w:line="470" w:lineRule="exact"/>
        <w:ind w:left="0" w:leftChars="0"/>
        <w:textAlignment w:val="auto"/>
        <w:rPr>
          <w:rStyle w:val="12"/>
          <w:rFonts w:hint="eastAsia"/>
          <w:lang w:val="en-US" w:eastAsia="zh-CN"/>
        </w:rPr>
      </w:pPr>
      <w:r>
        <w:rPr>
          <w:rStyle w:val="12"/>
          <w:rFonts w:hint="eastAsia"/>
          <w:lang w:val="en-US" w:eastAsia="zh-CN"/>
        </w:rPr>
        <w:t>七、投标报价</w:t>
      </w:r>
      <w:bookmarkEnd w:id="11"/>
    </w:p>
    <w:p>
      <w:pPr>
        <w:pageBreakBefore w:val="0"/>
        <w:numPr>
          <w:numId w:val="0"/>
        </w:numPr>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最高限价</w:t>
      </w:r>
    </w:p>
    <w:p>
      <w:pPr>
        <w:pageBreakBefore w:val="0"/>
        <w:numPr>
          <w:ilvl w:val="0"/>
          <w:numId w:val="0"/>
        </w:numPr>
        <w:kinsoku/>
        <w:wordWrap/>
        <w:overflowPunct/>
        <w:topLinePunct w:val="0"/>
        <w:autoSpaceDE/>
        <w:autoSpaceDN/>
        <w:bidi w:val="0"/>
        <w:adjustRightInd/>
        <w:snapToGrid w:val="0"/>
        <w:spacing w:line="470" w:lineRule="exact"/>
        <w:ind w:left="0"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本项目最高限价（采购预算）：</w:t>
      </w:r>
      <w:bookmarkStart w:id="41" w:name="_GoBack"/>
      <w:r>
        <w:rPr>
          <w:rFonts w:hint="eastAsia" w:asciiTheme="minorEastAsia" w:hAnsiTheme="minorEastAsia" w:eastAsiaTheme="minorEastAsia" w:cstheme="minorEastAsia"/>
          <w:color w:val="auto"/>
          <w:sz w:val="24"/>
          <w:szCs w:val="24"/>
          <w:lang w:val="en-US" w:eastAsia="zh-CN"/>
        </w:rPr>
        <w:t>人民币</w:t>
      </w:r>
      <w:r>
        <w:rPr>
          <w:rFonts w:hint="eastAsia" w:ascii="宋体" w:hAnsi="宋体" w:cs="宋体"/>
          <w:color w:val="auto"/>
          <w:sz w:val="24"/>
          <w:szCs w:val="24"/>
          <w:u w:val="single"/>
          <w:lang w:val="en-US" w:eastAsia="zh-CN"/>
        </w:rPr>
        <w:t>290000</w:t>
      </w:r>
      <w:r>
        <w:rPr>
          <w:rFonts w:hint="eastAsia" w:ascii="宋体" w:hAnsi="宋体" w:cs="宋体"/>
          <w:color w:val="auto"/>
          <w:sz w:val="24"/>
          <w:szCs w:val="24"/>
          <w:u w:val="single"/>
        </w:rPr>
        <w:t>.00</w:t>
      </w:r>
      <w:r>
        <w:rPr>
          <w:rFonts w:hint="eastAsia" w:asciiTheme="minorEastAsia" w:hAnsiTheme="minorEastAsia" w:eastAsiaTheme="minorEastAsia" w:cstheme="minorEastAsia"/>
          <w:color w:val="auto"/>
          <w:sz w:val="24"/>
          <w:szCs w:val="24"/>
          <w:lang w:val="en-US" w:eastAsia="zh-CN"/>
        </w:rPr>
        <w:t>元。</w:t>
      </w:r>
      <w:bookmarkEnd w:id="41"/>
    </w:p>
    <w:p>
      <w:pPr>
        <w:pageBreakBefore w:val="0"/>
        <w:numPr>
          <w:numId w:val="0"/>
        </w:numPr>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2" w:name="_Toc372538156"/>
      <w:r>
        <w:rPr>
          <w:rFonts w:hint="eastAsia" w:asciiTheme="minorEastAsia" w:hAnsi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报价要求</w:t>
      </w:r>
    </w:p>
    <w:p>
      <w:pPr>
        <w:pageBreakBefore w:val="0"/>
        <w:kinsoku/>
        <w:wordWrap/>
        <w:overflowPunct/>
        <w:topLinePunct w:val="0"/>
        <w:autoSpaceDE/>
        <w:autoSpaceDN/>
        <w:bidi w:val="0"/>
        <w:adjustRightInd/>
        <w:snapToGrid w:val="0"/>
        <w:spacing w:line="470" w:lineRule="exact"/>
        <w:ind w:left="0" w:leftChars="0" w:firstLine="4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投标报价应为投标单位在采购单位所在地完成本项目全部内容的完整报价，包含但不仅限于</w:t>
      </w:r>
      <w:r>
        <w:rPr>
          <w:rFonts w:hint="eastAsia" w:asciiTheme="minorEastAsia" w:hAnsiTheme="minorEastAsia" w:cstheme="minorEastAsia"/>
          <w:color w:val="auto"/>
          <w:sz w:val="24"/>
          <w:szCs w:val="24"/>
          <w:lang w:eastAsia="zh-CN"/>
        </w:rPr>
        <w:t>：</w:t>
      </w:r>
      <w:r>
        <w:rPr>
          <w:rFonts w:hint="eastAsia" w:ascii="宋体" w:hAnsi="宋体" w:cs="Arial"/>
          <w:color w:val="auto"/>
          <w:sz w:val="24"/>
          <w:szCs w:val="24"/>
        </w:rPr>
        <w:t>知识产权费、安装、调试、培训、人工费、税金等</w:t>
      </w:r>
      <w:r>
        <w:rPr>
          <w:rFonts w:hint="eastAsia" w:asciiTheme="minorEastAsia" w:hAnsiTheme="minorEastAsia" w:eastAsiaTheme="minorEastAsia" w:cstheme="minorEastAsia"/>
          <w:color w:val="auto"/>
          <w:sz w:val="24"/>
          <w:szCs w:val="24"/>
        </w:rPr>
        <w:t>，因投标单位自身原因造成漏报、少报皆由其自行承担责任，采购单位不再补偿，中标价为包干价，投标单位测算后确定投标报价。投标单位报价除报总价外还要提供</w:t>
      </w:r>
      <w:r>
        <w:rPr>
          <w:rFonts w:hint="eastAsia" w:asciiTheme="minorEastAsia" w:hAnsiTheme="minorEastAsia" w:cstheme="minorEastAsia"/>
          <w:color w:val="auto"/>
          <w:sz w:val="24"/>
          <w:szCs w:val="24"/>
          <w:lang w:val="en-US" w:eastAsia="zh-CN"/>
        </w:rPr>
        <w:t>明细报价表</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明细报价表</w:t>
      </w:r>
      <w:r>
        <w:rPr>
          <w:rFonts w:hint="eastAsia" w:asciiTheme="minorEastAsia" w:hAnsiTheme="minorEastAsia" w:eastAsiaTheme="minorEastAsia" w:cstheme="minorEastAsia"/>
          <w:color w:val="auto"/>
          <w:sz w:val="24"/>
          <w:szCs w:val="24"/>
        </w:rPr>
        <w:t>作为总价支撑依据），投标总价作为评标依据。大小写应当一致，如不一致，以大写为准；若明细报价表中分项报价与总价不一致，采购单位有权采用</w:t>
      </w:r>
      <w:r>
        <w:rPr>
          <w:rFonts w:hint="eastAsia" w:asciiTheme="minorEastAsia" w:hAnsiTheme="minorEastAsia" w:cstheme="minorEastAsia"/>
          <w:color w:val="auto"/>
          <w:sz w:val="24"/>
          <w:szCs w:val="24"/>
          <w:lang w:val="en-US" w:eastAsia="zh-CN"/>
        </w:rPr>
        <w:t>以</w:t>
      </w:r>
      <w:r>
        <w:rPr>
          <w:rFonts w:hint="eastAsia" w:asciiTheme="minorEastAsia" w:hAnsiTheme="minorEastAsia" w:eastAsiaTheme="minorEastAsia" w:cstheme="minorEastAsia"/>
          <w:color w:val="auto"/>
          <w:sz w:val="24"/>
          <w:szCs w:val="24"/>
        </w:rPr>
        <w:t>有利于采购单位为准。</w:t>
      </w:r>
    </w:p>
    <w:p>
      <w:pPr>
        <w:pStyle w:val="4"/>
        <w:pageBreakBefore w:val="0"/>
        <w:kinsoku/>
        <w:wordWrap/>
        <w:overflowPunct/>
        <w:topLinePunct w:val="0"/>
        <w:autoSpaceDE/>
        <w:autoSpaceDN/>
        <w:bidi w:val="0"/>
        <w:adjustRightInd/>
        <w:spacing w:line="470" w:lineRule="exact"/>
        <w:ind w:left="0" w:leftChars="0"/>
        <w:textAlignment w:val="auto"/>
        <w:rPr>
          <w:rStyle w:val="12"/>
          <w:rFonts w:hint="eastAsia"/>
          <w:lang w:val="en-US" w:eastAsia="zh-CN"/>
        </w:rPr>
      </w:pPr>
      <w:r>
        <w:rPr>
          <w:rStyle w:val="12"/>
          <w:rFonts w:hint="eastAsia"/>
          <w:lang w:val="en-US" w:eastAsia="zh-CN"/>
        </w:rPr>
        <w:t>八、评审办法</w:t>
      </w:r>
      <w:bookmarkEnd w:id="12"/>
    </w:p>
    <w:p>
      <w:pPr>
        <w:pageBreakBefore w:val="0"/>
        <w:numPr>
          <w:numId w:val="0"/>
        </w:numPr>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评审依据</w:t>
      </w:r>
    </w:p>
    <w:p>
      <w:pPr>
        <w:pageBreakBefore w:val="0"/>
        <w:numPr>
          <w:ilvl w:val="0"/>
          <w:numId w:val="0"/>
        </w:numPr>
        <w:kinsoku/>
        <w:wordWrap/>
        <w:overflowPunct/>
        <w:topLinePunct w:val="0"/>
        <w:autoSpaceDE/>
        <w:autoSpaceDN/>
        <w:bidi w:val="0"/>
        <w:adjustRightInd/>
        <w:snapToGrid w:val="0"/>
        <w:spacing w:line="470" w:lineRule="exact"/>
        <w:ind w:left="0"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采购单位将以</w:t>
      </w:r>
      <w:r>
        <w:rPr>
          <w:rFonts w:hint="eastAsia" w:asciiTheme="minorEastAsia" w:hAnsiTheme="minorEastAsia" w:cstheme="minorEastAsia"/>
          <w:sz w:val="24"/>
          <w:szCs w:val="24"/>
          <w:lang w:val="en-US" w:eastAsia="zh-CN"/>
        </w:rPr>
        <w:t>上传的响应文件</w:t>
      </w:r>
      <w:r>
        <w:rPr>
          <w:rFonts w:hint="eastAsia" w:asciiTheme="minorEastAsia" w:hAnsiTheme="minorEastAsia" w:eastAsiaTheme="minorEastAsia" w:cstheme="minorEastAsia"/>
          <w:sz w:val="24"/>
          <w:szCs w:val="24"/>
          <w:lang w:val="en-US" w:eastAsia="zh-CN"/>
        </w:rPr>
        <w:t>作为评判依据。</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无效响应</w:t>
      </w:r>
    </w:p>
    <w:p>
      <w:pPr>
        <w:pageBreakBefore w:val="0"/>
        <w:kinsoku/>
        <w:wordWrap/>
        <w:overflowPunct/>
        <w:topLinePunct w:val="0"/>
        <w:autoSpaceDE/>
        <w:autoSpaceDN/>
        <w:bidi w:val="0"/>
        <w:adjustRightInd/>
        <w:snapToGrid w:val="0"/>
        <w:spacing w:line="470" w:lineRule="exact"/>
        <w:ind w:left="0" w:lef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有下列情况之一者，为无效</w:t>
      </w:r>
      <w:r>
        <w:rPr>
          <w:rFonts w:hint="eastAsia" w:asciiTheme="minorEastAsia" w:hAnsiTheme="minorEastAsia" w:eastAsiaTheme="minorEastAsia" w:cstheme="minorEastAsia"/>
          <w:b/>
          <w:bCs/>
          <w:sz w:val="24"/>
          <w:szCs w:val="24"/>
          <w:lang w:eastAsia="zh-CN"/>
        </w:rPr>
        <w:t>响应，为废标</w:t>
      </w:r>
      <w:r>
        <w:rPr>
          <w:rFonts w:hint="eastAsia" w:asciiTheme="minorEastAsia" w:hAnsiTheme="minorEastAsia" w:eastAsiaTheme="minorEastAsia" w:cstheme="minorEastAsia"/>
          <w:b/>
          <w:bCs/>
          <w:sz w:val="24"/>
          <w:szCs w:val="24"/>
        </w:rPr>
        <w:t>（请仔细阅读）：</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文件缺少</w:t>
      </w:r>
      <w:r>
        <w:rPr>
          <w:rFonts w:hint="eastAsia" w:asciiTheme="minorEastAsia" w:hAnsiTheme="minorEastAsia" w:eastAsiaTheme="minorEastAsia" w:cstheme="minorEastAsia"/>
          <w:sz w:val="24"/>
          <w:szCs w:val="24"/>
          <w:lang w:eastAsia="zh-CN"/>
        </w:rPr>
        <w:t>前述“五”中“</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”所列要件或者</w:t>
      </w:r>
      <w:r>
        <w:rPr>
          <w:rFonts w:hint="eastAsia" w:asciiTheme="minorEastAsia" w:hAnsiTheme="minorEastAsia" w:eastAsiaTheme="minorEastAsia" w:cstheme="minorEastAsia"/>
          <w:sz w:val="24"/>
          <w:szCs w:val="24"/>
          <w:lang w:val="en-US" w:eastAsia="zh-CN"/>
        </w:rPr>
        <w:t>响应文件要件达不到本询比文件要求的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70" w:lineRule="exact"/>
        <w:ind w:left="0" w:left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）营业执照等复印件未加盖投标单位公章或骑缝章的。</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响应文件未按照本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文件第六篇响应文件格式中所规定签字、盖章</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营业执照经营范围</w:t>
      </w:r>
      <w:r>
        <w:rPr>
          <w:rFonts w:hint="eastAsia" w:asciiTheme="minorEastAsia" w:hAnsiTheme="minorEastAsia" w:eastAsiaTheme="minorEastAsia" w:cstheme="minorEastAsia"/>
          <w:sz w:val="24"/>
          <w:szCs w:val="24"/>
          <w:lang w:eastAsia="zh-CN"/>
        </w:rPr>
        <w:t>（或法人证书服务范围）</w:t>
      </w:r>
      <w:r>
        <w:rPr>
          <w:rFonts w:hint="eastAsia" w:asciiTheme="minorEastAsia" w:hAnsiTheme="minorEastAsia" w:eastAsiaTheme="minorEastAsia" w:cstheme="minorEastAsia"/>
          <w:sz w:val="24"/>
          <w:szCs w:val="24"/>
        </w:rPr>
        <w:t>或者特定资格条件与本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要求不符合或不在有效期内的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color w:val="auto"/>
          <w:sz w:val="24"/>
          <w:szCs w:val="24"/>
          <w:lang w:val="en-US" w:eastAsia="zh-CN"/>
        </w:rPr>
        <w:t>响应文件的投标时间与本询比文件发出时间和投标截止时间冲突的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投标报价超过最高限价或者未按本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文件要求</w:t>
      </w:r>
      <w:r>
        <w:rPr>
          <w:rFonts w:hint="eastAsia" w:asciiTheme="minorEastAsia" w:hAnsiTheme="minorEastAsia" w:eastAsiaTheme="minorEastAsia" w:cstheme="minorEastAsia"/>
          <w:sz w:val="24"/>
          <w:szCs w:val="24"/>
        </w:rPr>
        <w:t>报价的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(7)响应文件如有更改，在更改处未加盖公章的。</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(8)响应文件未按本询比文件“第六篇 供应商编制响应文件要求”编制的。</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文件内容不完全满足本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的要求的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eastAsia="zh-CN"/>
        </w:rPr>
        <w:t>中标</w:t>
      </w:r>
      <w:r>
        <w:rPr>
          <w:rFonts w:hint="eastAsia" w:asciiTheme="minorEastAsia" w:hAnsiTheme="minorEastAsia" w:eastAsiaTheme="minorEastAsia" w:cstheme="minorEastAsia"/>
          <w:color w:val="auto"/>
          <w:sz w:val="24"/>
          <w:szCs w:val="24"/>
        </w:rPr>
        <w:t>原则</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综合评分法：满分100分，采购单位对已入围（有效响应）评审的投标单位的响应文件和报价进行评分，</w:t>
      </w:r>
      <w:r>
        <w:rPr>
          <w:rFonts w:hint="eastAsia" w:asciiTheme="minorEastAsia" w:hAnsiTheme="minorEastAsia" w:cstheme="minorEastAsia"/>
          <w:color w:val="auto"/>
          <w:sz w:val="24"/>
          <w:szCs w:val="24"/>
          <w:lang w:val="en-US" w:eastAsia="zh-CN"/>
        </w:rPr>
        <w:t>授权评标委员会直接确定综合</w:t>
      </w:r>
      <w:r>
        <w:rPr>
          <w:rFonts w:hint="eastAsia" w:asciiTheme="minorEastAsia" w:hAnsiTheme="minorEastAsia" w:eastAsiaTheme="minorEastAsia" w:cstheme="minorEastAsia"/>
          <w:color w:val="auto"/>
          <w:sz w:val="24"/>
          <w:szCs w:val="24"/>
          <w:lang w:val="en-US" w:eastAsia="zh-CN"/>
        </w:rPr>
        <w:t>得分最高的投标单位为</w:t>
      </w:r>
      <w:r>
        <w:rPr>
          <w:rFonts w:hint="eastAsia" w:asciiTheme="minorEastAsia" w:hAnsiTheme="minorEastAsia" w:cstheme="minorEastAsia"/>
          <w:color w:val="auto"/>
          <w:sz w:val="24"/>
          <w:szCs w:val="24"/>
          <w:lang w:val="en-US" w:eastAsia="zh-CN"/>
        </w:rPr>
        <w:t>中标人</w:t>
      </w:r>
      <w:r>
        <w:rPr>
          <w:rFonts w:hint="eastAsia" w:asciiTheme="minorEastAsia" w:hAnsiTheme="minorEastAsia" w:eastAsiaTheme="minorEastAsia" w:cstheme="minorEastAsia"/>
          <w:color w:val="auto"/>
          <w:sz w:val="24"/>
          <w:szCs w:val="24"/>
          <w:lang w:val="en-US" w:eastAsia="zh-CN"/>
        </w:rPr>
        <w:t>；未入围的投标单位不参与评审。评审得分保留小数点后两位，如果得分相同，按小数点后第三位高的原则选取。</w:t>
      </w:r>
    </w:p>
    <w:p>
      <w:pPr>
        <w:pageBreakBefore w:val="0"/>
        <w:kinsoku/>
        <w:wordWrap/>
        <w:overflowPunct/>
        <w:topLinePunct w:val="0"/>
        <w:autoSpaceDE/>
        <w:autoSpaceDN/>
        <w:bidi w:val="0"/>
        <w:adjustRightInd/>
        <w:snapToGrid w:val="0"/>
        <w:spacing w:line="470" w:lineRule="exact"/>
        <w:ind w:left="0" w:leftChars="0" w:firstLine="480" w:firstLineChars="20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评分标准</w:t>
      </w:r>
    </w:p>
    <w:tbl>
      <w:tblPr>
        <w:tblStyle w:val="13"/>
        <w:tblpPr w:leftFromText="180" w:rightFromText="180" w:vertAnchor="text" w:horzAnchor="page" w:tblpX="1322" w:tblpY="428"/>
        <w:tblOverlap w:val="never"/>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072"/>
        <w:gridCol w:w="500"/>
        <w:gridCol w:w="5347"/>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87" w:type="dxa"/>
            <w:vAlign w:val="center"/>
          </w:tcPr>
          <w:p>
            <w:pPr>
              <w:pageBreakBefore w:val="0"/>
              <w:kinsoku/>
              <w:wordWrap/>
              <w:overflowPunct/>
              <w:topLinePunct w:val="0"/>
              <w:autoSpaceDE/>
              <w:autoSpaceDN/>
              <w:bidi w:val="0"/>
              <w:adjustRightInd/>
              <w:spacing w:line="470" w:lineRule="exact"/>
              <w:ind w:left="0" w:leftChars="0" w:firstLine="28"/>
              <w:jc w:val="center"/>
              <w:textAlignment w:val="auto"/>
              <w:rPr>
                <w:rFonts w:hint="eastAsia"/>
                <w:bCs/>
                <w:color w:val="auto"/>
                <w:highlight w:val="none"/>
              </w:rPr>
            </w:pPr>
            <w:r>
              <w:rPr>
                <w:rFonts w:hint="eastAsia"/>
                <w:bCs/>
                <w:color w:val="auto"/>
                <w:highlight w:val="none"/>
              </w:rPr>
              <w:t>序号</w:t>
            </w:r>
          </w:p>
        </w:tc>
        <w:tc>
          <w:tcPr>
            <w:tcW w:w="1072" w:type="dxa"/>
            <w:vAlign w:val="center"/>
          </w:tcPr>
          <w:p>
            <w:pPr>
              <w:pageBreakBefore w:val="0"/>
              <w:kinsoku/>
              <w:wordWrap/>
              <w:overflowPunct/>
              <w:topLinePunct w:val="0"/>
              <w:autoSpaceDE/>
              <w:autoSpaceDN/>
              <w:bidi w:val="0"/>
              <w:adjustRightInd/>
              <w:spacing w:line="470" w:lineRule="exact"/>
              <w:ind w:left="0" w:leftChars="0" w:firstLine="28"/>
              <w:jc w:val="center"/>
              <w:textAlignment w:val="auto"/>
              <w:rPr>
                <w:rFonts w:hint="eastAsia"/>
                <w:bCs/>
                <w:color w:val="auto"/>
                <w:highlight w:val="none"/>
              </w:rPr>
            </w:pPr>
            <w:r>
              <w:rPr>
                <w:rFonts w:hint="eastAsia"/>
                <w:bCs/>
                <w:color w:val="auto"/>
                <w:highlight w:val="none"/>
              </w:rPr>
              <w:t>评分因素及权值</w:t>
            </w:r>
          </w:p>
        </w:tc>
        <w:tc>
          <w:tcPr>
            <w:tcW w:w="500" w:type="dxa"/>
            <w:vAlign w:val="center"/>
          </w:tcPr>
          <w:p>
            <w:pPr>
              <w:pageBreakBefore w:val="0"/>
              <w:kinsoku/>
              <w:wordWrap/>
              <w:overflowPunct/>
              <w:topLinePunct w:val="0"/>
              <w:autoSpaceDE/>
              <w:autoSpaceDN/>
              <w:bidi w:val="0"/>
              <w:adjustRightInd/>
              <w:spacing w:line="470" w:lineRule="exact"/>
              <w:ind w:left="0" w:leftChars="0" w:firstLine="28"/>
              <w:jc w:val="center"/>
              <w:textAlignment w:val="auto"/>
              <w:rPr>
                <w:rFonts w:hint="eastAsia"/>
                <w:bCs/>
                <w:color w:val="auto"/>
                <w:highlight w:val="none"/>
              </w:rPr>
            </w:pPr>
            <w:r>
              <w:rPr>
                <w:rFonts w:hint="eastAsia"/>
                <w:bCs/>
                <w:color w:val="auto"/>
                <w:highlight w:val="none"/>
              </w:rPr>
              <w:t>分值</w:t>
            </w:r>
          </w:p>
        </w:tc>
        <w:tc>
          <w:tcPr>
            <w:tcW w:w="5347" w:type="dxa"/>
            <w:vAlign w:val="center"/>
          </w:tcPr>
          <w:p>
            <w:pPr>
              <w:pageBreakBefore w:val="0"/>
              <w:kinsoku/>
              <w:wordWrap/>
              <w:overflowPunct/>
              <w:topLinePunct w:val="0"/>
              <w:autoSpaceDE/>
              <w:autoSpaceDN/>
              <w:bidi w:val="0"/>
              <w:adjustRightInd/>
              <w:spacing w:line="470" w:lineRule="exact"/>
              <w:ind w:left="0" w:leftChars="0" w:firstLine="28"/>
              <w:jc w:val="center"/>
              <w:textAlignment w:val="auto"/>
              <w:rPr>
                <w:rFonts w:hint="eastAsia"/>
                <w:bCs/>
                <w:color w:val="auto"/>
                <w:highlight w:val="none"/>
              </w:rPr>
            </w:pPr>
            <w:r>
              <w:rPr>
                <w:rFonts w:hint="eastAsia"/>
                <w:bCs/>
                <w:color w:val="auto"/>
                <w:highlight w:val="none"/>
              </w:rPr>
              <w:t>评分标准</w:t>
            </w:r>
          </w:p>
        </w:tc>
        <w:tc>
          <w:tcPr>
            <w:tcW w:w="2230" w:type="dxa"/>
            <w:vAlign w:val="center"/>
          </w:tcPr>
          <w:p>
            <w:pPr>
              <w:pageBreakBefore w:val="0"/>
              <w:kinsoku/>
              <w:wordWrap/>
              <w:overflowPunct/>
              <w:topLinePunct w:val="0"/>
              <w:autoSpaceDE/>
              <w:autoSpaceDN/>
              <w:bidi w:val="0"/>
              <w:adjustRightInd/>
              <w:spacing w:line="470" w:lineRule="exact"/>
              <w:ind w:left="0" w:leftChars="0" w:firstLine="28"/>
              <w:jc w:val="center"/>
              <w:textAlignment w:val="auto"/>
              <w:rPr>
                <w:rFonts w:hint="eastAsia"/>
                <w:bCs/>
                <w:color w:val="auto"/>
                <w:highlight w:val="none"/>
              </w:rPr>
            </w:pPr>
            <w:r>
              <w:rPr>
                <w:rFonts w:hint="eastAsia"/>
                <w:bCs/>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87" w:type="dxa"/>
            <w:vAlign w:val="center"/>
          </w:tcPr>
          <w:p>
            <w:pPr>
              <w:pageBreakBefore w:val="0"/>
              <w:kinsoku/>
              <w:wordWrap/>
              <w:overflowPunct/>
              <w:topLinePunct w:val="0"/>
              <w:autoSpaceDE/>
              <w:autoSpaceDN/>
              <w:bidi w:val="0"/>
              <w:adjustRightInd/>
              <w:spacing w:line="470" w:lineRule="exact"/>
              <w:ind w:left="0" w:leftChars="0" w:firstLine="28"/>
              <w:jc w:val="center"/>
              <w:textAlignment w:val="auto"/>
              <w:rPr>
                <w:rFonts w:hint="eastAsia"/>
                <w:bCs/>
                <w:color w:val="auto"/>
                <w:highlight w:val="none"/>
              </w:rPr>
            </w:pPr>
            <w:r>
              <w:rPr>
                <w:rFonts w:hint="eastAsia"/>
                <w:bCs/>
                <w:color w:val="auto"/>
                <w:highlight w:val="none"/>
              </w:rPr>
              <w:t>1</w:t>
            </w:r>
          </w:p>
        </w:tc>
        <w:tc>
          <w:tcPr>
            <w:tcW w:w="1072"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报价</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（40%）</w:t>
            </w:r>
          </w:p>
        </w:tc>
        <w:tc>
          <w:tcPr>
            <w:tcW w:w="500"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40</w:t>
            </w:r>
          </w:p>
        </w:tc>
        <w:tc>
          <w:tcPr>
            <w:tcW w:w="5347"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有效投标报价中的最低价为评标基准价，按照下列公式计算每个供应商的投标价格得分。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投标报价得分＝（评标基准价/投标报价）×价格权重×100。</w:t>
            </w:r>
          </w:p>
        </w:tc>
        <w:tc>
          <w:tcPr>
            <w:tcW w:w="2230"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lang w:val="en-US" w:eastAsia="zh-CN"/>
              </w:rPr>
              <w:t>保留小数点后两位，第三位四舍五入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87" w:type="dxa"/>
            <w:vMerge w:val="restart"/>
            <w:vAlign w:val="center"/>
          </w:tcPr>
          <w:p>
            <w:pPr>
              <w:pageBreakBefore w:val="0"/>
              <w:kinsoku/>
              <w:wordWrap/>
              <w:overflowPunct/>
              <w:topLinePunct w:val="0"/>
              <w:autoSpaceDE/>
              <w:autoSpaceDN/>
              <w:bidi w:val="0"/>
              <w:adjustRightInd/>
              <w:spacing w:line="470" w:lineRule="exact"/>
              <w:ind w:left="0" w:leftChars="0" w:firstLine="28"/>
              <w:jc w:val="center"/>
              <w:textAlignment w:val="auto"/>
              <w:rPr>
                <w:rFonts w:hint="eastAsia"/>
                <w:bCs/>
                <w:color w:val="auto"/>
                <w:highlight w:val="none"/>
              </w:rPr>
            </w:pPr>
            <w:r>
              <w:rPr>
                <w:rFonts w:hint="eastAsia"/>
                <w:bCs/>
                <w:color w:val="auto"/>
                <w:highlight w:val="none"/>
              </w:rPr>
              <w:t>2</w:t>
            </w:r>
          </w:p>
        </w:tc>
        <w:tc>
          <w:tcPr>
            <w:tcW w:w="1072" w:type="dxa"/>
            <w:vMerge w:val="restart"/>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服务部分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（30%）</w:t>
            </w:r>
          </w:p>
        </w:tc>
        <w:tc>
          <w:tcPr>
            <w:tcW w:w="500"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15</w:t>
            </w:r>
          </w:p>
        </w:tc>
        <w:tc>
          <w:tcPr>
            <w:tcW w:w="5347"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服务方案：</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供应商提交的服务方案应当针对性强，对综合性技术支持服务需求理解深刻；测评内容全面，测评方法合理可行。</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内容包括但不限于项目特点分析、项目进度安排、测评流程、测评方法、测评工具、组织架构、应急处置等，为采购人提供合理的测评方案。</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方案内容不存在瑕疵，得15分；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方案内容存在1处瑕疵，得12分；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方案内容存在2处瑕疵得9分；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方案内容存在3处瑕疵得6分；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方案内容存在4处及以上瑕疵或未提供方案得0分。</w:t>
            </w:r>
          </w:p>
        </w:tc>
        <w:tc>
          <w:tcPr>
            <w:tcW w:w="2230" w:type="dxa"/>
            <w:vMerge w:val="restart"/>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提供服务方案</w:t>
            </w:r>
          </w:p>
          <w:p>
            <w:pPr>
              <w:pageBreakBefore w:val="0"/>
              <w:kinsoku/>
              <w:wordWrap/>
              <w:overflowPunct/>
              <w:topLinePunct w:val="0"/>
              <w:autoSpaceDE/>
              <w:autoSpaceDN/>
              <w:bidi w:val="0"/>
              <w:adjustRightInd/>
              <w:spacing w:line="470" w:lineRule="exact"/>
              <w:ind w:left="0" w:leftChars="0" w:firstLine="0"/>
              <w:textAlignment w:val="auto"/>
              <w:rPr>
                <w:rFonts w:hint="eastAsia" w:ascii="宋体" w:eastAsia="宋体" w:cs="宋体"/>
                <w:color w:val="auto"/>
                <w:kern w:val="2"/>
                <w:sz w:val="18"/>
                <w:szCs w:val="18"/>
                <w:highlight w:val="none"/>
                <w:lang w:val="en-US" w:eastAsia="zh-CN"/>
              </w:rPr>
            </w:pPr>
            <w:r>
              <w:rPr>
                <w:rFonts w:hint="eastAsia" w:ascii="宋体" w:eastAsia="宋体" w:cs="宋体"/>
                <w:color w:val="auto"/>
                <w:kern w:val="2"/>
                <w:sz w:val="18"/>
                <w:szCs w:val="18"/>
                <w:highlight w:val="none"/>
              </w:rPr>
              <w:t>注：本项方案中所称的“瑕疵”指</w:t>
            </w:r>
            <w:r>
              <w:rPr>
                <w:rFonts w:hint="eastAsia" w:ascii="宋体" w:eastAsia="宋体" w:cs="宋体"/>
                <w:color w:val="auto"/>
                <w:kern w:val="2"/>
                <w:sz w:val="18"/>
                <w:szCs w:val="18"/>
                <w:highlight w:val="none"/>
                <w:lang w:eastAsia="zh-CN"/>
              </w:rPr>
              <w:t>：</w:t>
            </w:r>
            <w:r>
              <w:rPr>
                <w:rFonts w:hint="eastAsia" w:ascii="宋体" w:eastAsia="宋体" w:cs="宋体"/>
                <w:color w:val="auto"/>
                <w:kern w:val="2"/>
                <w:sz w:val="18"/>
                <w:szCs w:val="18"/>
                <w:highlight w:val="none"/>
                <w:lang w:val="en-US" w:eastAsia="zh-CN"/>
              </w:rPr>
              <w:t>①</w:t>
            </w:r>
            <w:r>
              <w:rPr>
                <w:rFonts w:hint="eastAsia" w:ascii="宋体" w:eastAsia="宋体" w:cs="宋体"/>
                <w:color w:val="auto"/>
                <w:kern w:val="2"/>
                <w:sz w:val="18"/>
                <w:szCs w:val="18"/>
                <w:highlight w:val="none"/>
              </w:rPr>
              <w:t>方案内容缺项；</w:t>
            </w:r>
            <w:r>
              <w:rPr>
                <w:rFonts w:hint="eastAsia" w:ascii="宋体" w:eastAsia="宋体" w:cs="宋体"/>
                <w:color w:val="auto"/>
                <w:kern w:val="2"/>
                <w:sz w:val="18"/>
                <w:szCs w:val="18"/>
                <w:highlight w:val="none"/>
                <w:lang w:val="en-US" w:eastAsia="zh-CN"/>
              </w:rPr>
              <w:t>②</w:t>
            </w:r>
            <w:r>
              <w:rPr>
                <w:rFonts w:hint="eastAsia" w:ascii="宋体" w:eastAsia="宋体" w:cs="宋体"/>
                <w:color w:val="auto"/>
                <w:kern w:val="2"/>
                <w:sz w:val="18"/>
                <w:szCs w:val="18"/>
                <w:highlight w:val="none"/>
              </w:rPr>
              <w:t>内容表述不完整或缺少关键分析点；</w:t>
            </w:r>
            <w:r>
              <w:rPr>
                <w:rFonts w:hint="eastAsia" w:ascii="宋体" w:eastAsia="宋体" w:cs="宋体"/>
                <w:color w:val="auto"/>
                <w:kern w:val="2"/>
                <w:sz w:val="18"/>
                <w:szCs w:val="18"/>
                <w:highlight w:val="none"/>
                <w:lang w:val="en-US" w:eastAsia="zh-CN"/>
              </w:rPr>
              <w:t>③</w:t>
            </w:r>
            <w:r>
              <w:rPr>
                <w:rFonts w:hint="eastAsia" w:ascii="宋体" w:eastAsia="宋体" w:cs="宋体"/>
                <w:color w:val="auto"/>
                <w:kern w:val="2"/>
                <w:sz w:val="18"/>
                <w:szCs w:val="18"/>
                <w:highlight w:val="none"/>
              </w:rPr>
              <w:t>方案内容表述前后矛盾、无连贯性；</w:t>
            </w:r>
            <w:r>
              <w:rPr>
                <w:rFonts w:hint="eastAsia" w:ascii="宋体" w:eastAsia="宋体" w:cs="宋体"/>
                <w:color w:val="auto"/>
                <w:kern w:val="2"/>
                <w:sz w:val="18"/>
                <w:szCs w:val="18"/>
                <w:highlight w:val="none"/>
                <w:lang w:val="en-US" w:eastAsia="zh-CN"/>
              </w:rPr>
              <w:t>④</w:t>
            </w:r>
            <w:r>
              <w:rPr>
                <w:rFonts w:hint="eastAsia" w:ascii="宋体" w:eastAsia="宋体" w:cs="宋体"/>
                <w:color w:val="auto"/>
                <w:kern w:val="2"/>
                <w:sz w:val="18"/>
                <w:szCs w:val="18"/>
                <w:highlight w:val="none"/>
              </w:rPr>
              <w:t>内容存在逻辑漏洞、常识错误；</w:t>
            </w:r>
            <w:r>
              <w:rPr>
                <w:rFonts w:hint="eastAsia" w:ascii="宋体" w:eastAsia="宋体" w:cs="宋体"/>
                <w:color w:val="auto"/>
                <w:kern w:val="2"/>
                <w:sz w:val="18"/>
                <w:szCs w:val="18"/>
                <w:highlight w:val="none"/>
                <w:lang w:val="en-US" w:eastAsia="zh-CN"/>
              </w:rPr>
              <w:t>⑤</w:t>
            </w:r>
            <w:r>
              <w:rPr>
                <w:rFonts w:hint="eastAsia" w:ascii="宋体" w:eastAsia="宋体" w:cs="宋体"/>
                <w:color w:val="auto"/>
                <w:kern w:val="2"/>
                <w:sz w:val="18"/>
                <w:szCs w:val="18"/>
                <w:highlight w:val="none"/>
              </w:rPr>
              <w:t>运维服务方案并不适用本项目特性或非专门针对本项目制定；</w:t>
            </w:r>
            <w:r>
              <w:rPr>
                <w:rFonts w:hint="eastAsia" w:ascii="宋体" w:eastAsia="宋体" w:cs="宋体"/>
                <w:color w:val="auto"/>
                <w:kern w:val="2"/>
                <w:sz w:val="18"/>
                <w:szCs w:val="18"/>
                <w:highlight w:val="none"/>
                <w:lang w:val="en-US" w:eastAsia="zh-CN"/>
              </w:rPr>
              <w:t>⑥</w:t>
            </w:r>
            <w:r>
              <w:rPr>
                <w:rFonts w:hint="eastAsia" w:ascii="宋体" w:eastAsia="宋体" w:cs="宋体"/>
                <w:color w:val="auto"/>
                <w:kern w:val="2"/>
                <w:sz w:val="18"/>
                <w:szCs w:val="18"/>
                <w:highlight w:val="none"/>
              </w:rPr>
              <w:t>方案中提出的措施举措不利于本项目目标的实现。</w:t>
            </w:r>
            <w:r>
              <w:rPr>
                <w:rFonts w:hint="eastAsia" w:ascii="宋体" w:eastAsia="宋体" w:cs="宋体"/>
                <w:color w:val="auto"/>
                <w:kern w:val="2"/>
                <w:sz w:val="18"/>
                <w:szCs w:val="18"/>
                <w:highlight w:val="none"/>
                <w:lang w:val="en-US" w:eastAsia="zh-CN"/>
              </w:rPr>
              <w:t>⑦</w:t>
            </w:r>
            <w:r>
              <w:rPr>
                <w:rFonts w:hint="eastAsia" w:ascii="宋体" w:eastAsia="宋体" w:cs="宋体"/>
                <w:b w:val="0"/>
                <w:sz w:val="18"/>
                <w:highlight w:val="none"/>
              </w:rPr>
              <w:t>内容仅照搬招标文件描述而未结合项目实际情况进行分析的</w:t>
            </w:r>
            <w:r>
              <w:rPr>
                <w:rFonts w:hint="eastAsia" w:ascii="宋体" w:eastAsia="宋体" w:cs="宋体"/>
                <w:b w:val="0"/>
                <w:sz w:val="18"/>
                <w:highlight w:val="none"/>
                <w:lang w:eastAsia="zh-CN"/>
              </w:rPr>
              <w:t>。</w:t>
            </w:r>
          </w:p>
          <w:p>
            <w:pPr>
              <w:pStyle w:val="6"/>
              <w:pageBreakBefore w:val="0"/>
              <w:kinsoku/>
              <w:wordWrap/>
              <w:overflowPunct/>
              <w:topLinePunct w:val="0"/>
              <w:autoSpaceDE/>
              <w:autoSpaceDN/>
              <w:bidi w:val="0"/>
              <w:adjustRightInd/>
              <w:spacing w:line="470" w:lineRule="exact"/>
              <w:ind w:left="0" w:leftChars="0"/>
              <w:textAlignment w:val="auto"/>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87" w:type="dxa"/>
            <w:vMerge w:val="continue"/>
            <w:vAlign w:val="center"/>
          </w:tcPr>
          <w:p>
            <w:pPr>
              <w:pageBreakBefore w:val="0"/>
              <w:kinsoku/>
              <w:wordWrap/>
              <w:overflowPunct/>
              <w:topLinePunct w:val="0"/>
              <w:autoSpaceDE/>
              <w:autoSpaceDN/>
              <w:bidi w:val="0"/>
              <w:adjustRightInd/>
              <w:spacing w:line="470" w:lineRule="exact"/>
              <w:ind w:left="0" w:leftChars="0" w:firstLine="28"/>
              <w:jc w:val="center"/>
              <w:textAlignment w:val="auto"/>
              <w:rPr>
                <w:rFonts w:hint="eastAsia"/>
                <w:bCs/>
                <w:color w:val="auto"/>
                <w:highlight w:val="none"/>
              </w:rPr>
            </w:pPr>
          </w:p>
        </w:tc>
        <w:tc>
          <w:tcPr>
            <w:tcW w:w="1072" w:type="dxa"/>
            <w:vMerge w:val="continue"/>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p>
        </w:tc>
        <w:tc>
          <w:tcPr>
            <w:tcW w:w="500"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5</w:t>
            </w:r>
          </w:p>
        </w:tc>
        <w:tc>
          <w:tcPr>
            <w:tcW w:w="5347"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质量保障措施：</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供应商提出合理的质量保证措施。方案应包括但不限于质量目标、质量保证体系、质量管理流程、质量管理措施、质量保证承诺。</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方案内容不存在瑕疵，得5分；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方案内容存在1处瑕疵，得4分；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方案内容存在2处瑕疵得3分；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方案内容存在3处瑕疵得2分；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方案内容存在4处及以上瑕疵或未提供方案得0分。</w:t>
            </w:r>
          </w:p>
        </w:tc>
        <w:tc>
          <w:tcPr>
            <w:tcW w:w="2230" w:type="dxa"/>
            <w:vMerge w:val="continue"/>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87" w:type="dxa"/>
            <w:vMerge w:val="continue"/>
            <w:vAlign w:val="center"/>
          </w:tcPr>
          <w:p>
            <w:pPr>
              <w:pageBreakBefore w:val="0"/>
              <w:kinsoku/>
              <w:wordWrap/>
              <w:overflowPunct/>
              <w:topLinePunct w:val="0"/>
              <w:autoSpaceDE/>
              <w:autoSpaceDN/>
              <w:bidi w:val="0"/>
              <w:adjustRightInd/>
              <w:spacing w:line="470" w:lineRule="exact"/>
              <w:ind w:left="0" w:leftChars="0" w:firstLine="28"/>
              <w:jc w:val="center"/>
              <w:textAlignment w:val="auto"/>
              <w:rPr>
                <w:rFonts w:hint="eastAsia"/>
                <w:bCs/>
                <w:color w:val="auto"/>
                <w:highlight w:val="none"/>
              </w:rPr>
            </w:pPr>
          </w:p>
        </w:tc>
        <w:tc>
          <w:tcPr>
            <w:tcW w:w="1072" w:type="dxa"/>
            <w:vMerge w:val="continue"/>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p>
        </w:tc>
        <w:tc>
          <w:tcPr>
            <w:tcW w:w="500"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5</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p>
        </w:tc>
        <w:tc>
          <w:tcPr>
            <w:tcW w:w="5347"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保密措施：</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供应商应具有全面完善的保密措施，承诺严格保守本次项目内容，并承担相应的保密责任。方案应包括不限于保密管理组织机构、保密管理制度、保密管理措施、保密管理应急处置方案、保密承诺。</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方案内容不存在瑕疵，得5分；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方案内容存在1处瑕疵，得4分；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方案内容存在2处瑕疵得3分；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方案内容存在3处瑕疵得2分；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方案内容存在4处及以上瑕疵或未提供方案得0分。</w:t>
            </w:r>
          </w:p>
        </w:tc>
        <w:tc>
          <w:tcPr>
            <w:tcW w:w="2230" w:type="dxa"/>
            <w:vMerge w:val="continue"/>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87" w:type="dxa"/>
            <w:vMerge w:val="continue"/>
            <w:vAlign w:val="center"/>
          </w:tcPr>
          <w:p>
            <w:pPr>
              <w:pageBreakBefore w:val="0"/>
              <w:kinsoku/>
              <w:wordWrap/>
              <w:overflowPunct/>
              <w:topLinePunct w:val="0"/>
              <w:autoSpaceDE/>
              <w:autoSpaceDN/>
              <w:bidi w:val="0"/>
              <w:adjustRightInd/>
              <w:spacing w:line="470" w:lineRule="exact"/>
              <w:ind w:left="0" w:leftChars="0" w:firstLine="28"/>
              <w:jc w:val="center"/>
              <w:textAlignment w:val="auto"/>
              <w:rPr>
                <w:rFonts w:hint="eastAsia"/>
                <w:bCs/>
                <w:color w:val="auto"/>
                <w:highlight w:val="none"/>
              </w:rPr>
            </w:pPr>
          </w:p>
        </w:tc>
        <w:tc>
          <w:tcPr>
            <w:tcW w:w="1072" w:type="dxa"/>
            <w:vMerge w:val="continue"/>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p>
        </w:tc>
        <w:tc>
          <w:tcPr>
            <w:tcW w:w="500"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5</w:t>
            </w:r>
          </w:p>
        </w:tc>
        <w:tc>
          <w:tcPr>
            <w:tcW w:w="5347"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风险管理：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测评风险控制措施（在测评过程中，应充分考虑到相关活动对系统正常运行的不利影响，采取必要措施将相关风险降到最低）。</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方案应包括不限于风险管理措施、风险处理、风险管理承诺。</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方案内容不存在瑕疵，得5分；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方案内容存在1处瑕疵，得4分；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方案内容存在2处瑕疵得3分；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方案内容存在3处瑕疵得2分；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方案内容存在4处及以上瑕疵或未提供方案得0分。</w:t>
            </w:r>
          </w:p>
        </w:tc>
        <w:tc>
          <w:tcPr>
            <w:tcW w:w="2230" w:type="dxa"/>
            <w:vMerge w:val="continue"/>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87" w:type="dxa"/>
            <w:vMerge w:val="restart"/>
            <w:vAlign w:val="center"/>
          </w:tcPr>
          <w:p>
            <w:pPr>
              <w:pageBreakBefore w:val="0"/>
              <w:kinsoku/>
              <w:wordWrap/>
              <w:overflowPunct/>
              <w:topLinePunct w:val="0"/>
              <w:autoSpaceDE/>
              <w:autoSpaceDN/>
              <w:bidi w:val="0"/>
              <w:adjustRightInd/>
              <w:spacing w:line="470" w:lineRule="exact"/>
              <w:ind w:left="0" w:leftChars="0" w:firstLine="28"/>
              <w:jc w:val="center"/>
              <w:textAlignment w:val="auto"/>
              <w:rPr>
                <w:rFonts w:hint="eastAsia"/>
                <w:bCs/>
                <w:color w:val="auto"/>
                <w:highlight w:val="none"/>
              </w:rPr>
            </w:pPr>
            <w:r>
              <w:rPr>
                <w:rFonts w:hint="eastAsia"/>
                <w:bCs/>
                <w:color w:val="auto"/>
                <w:highlight w:val="none"/>
              </w:rPr>
              <w:t>3</w:t>
            </w:r>
          </w:p>
        </w:tc>
        <w:tc>
          <w:tcPr>
            <w:tcW w:w="1072" w:type="dxa"/>
            <w:vMerge w:val="restart"/>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商务部分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（30%）</w:t>
            </w:r>
          </w:p>
        </w:tc>
        <w:tc>
          <w:tcPr>
            <w:tcW w:w="500"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9</w:t>
            </w:r>
          </w:p>
        </w:tc>
        <w:tc>
          <w:tcPr>
            <w:tcW w:w="5347"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企业实力：</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lang w:val="en-US" w:eastAsia="zh-CN"/>
              </w:rPr>
              <w:t>1.</w:t>
            </w:r>
            <w:r>
              <w:rPr>
                <w:rFonts w:hint="eastAsia"/>
                <w:bCs/>
                <w:color w:val="auto"/>
                <w:highlight w:val="none"/>
              </w:rPr>
              <w:t>供应商具备ISO9001质量管理体系认证证书的得1分，未提供得0分。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lang w:val="en-US" w:eastAsia="zh-CN"/>
              </w:rPr>
              <w:t>2.</w:t>
            </w:r>
            <w:r>
              <w:rPr>
                <w:rFonts w:hint="eastAsia"/>
                <w:bCs/>
                <w:color w:val="auto"/>
                <w:highlight w:val="none"/>
              </w:rPr>
              <w:t>供应商具备ISO27001信息安全管理体系认证证书的得1分，未提供得0分。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lang w:val="en-US" w:eastAsia="zh-CN"/>
              </w:rPr>
              <w:t>3.</w:t>
            </w:r>
            <w:r>
              <w:rPr>
                <w:rFonts w:hint="eastAsia"/>
                <w:bCs/>
                <w:color w:val="auto"/>
                <w:highlight w:val="none"/>
              </w:rPr>
              <w:t>供应商具备中国网络安全审查认证和市场监管大数据中心（或原中国网络安全审查技术与认证中心）颁发的信息安全风险评估服务资质证书的，一级得2分，二级得1分，三级得0.5分，未提供的得0分。</w:t>
            </w:r>
          </w:p>
          <w:p>
            <w:pPr>
              <w:pageBreakBefore w:val="0"/>
              <w:kinsoku/>
              <w:wordWrap/>
              <w:overflowPunct/>
              <w:topLinePunct w:val="0"/>
              <w:autoSpaceDE/>
              <w:autoSpaceDN/>
              <w:bidi w:val="0"/>
              <w:adjustRightInd/>
              <w:spacing w:line="470" w:lineRule="exact"/>
              <w:ind w:left="0" w:leftChars="0"/>
              <w:jc w:val="left"/>
              <w:textAlignment w:val="auto"/>
              <w:rPr>
                <w:rFonts w:hint="eastAsia"/>
                <w:bCs/>
                <w:color w:val="auto"/>
                <w:highlight w:val="none"/>
              </w:rPr>
            </w:pPr>
            <w:r>
              <w:rPr>
                <w:rFonts w:hint="eastAsia"/>
                <w:bCs/>
                <w:color w:val="auto"/>
                <w:highlight w:val="none"/>
                <w:lang w:val="en-US" w:eastAsia="zh-CN"/>
              </w:rPr>
              <w:t>4.</w:t>
            </w:r>
            <w:r>
              <w:rPr>
                <w:rFonts w:hint="eastAsia"/>
                <w:bCs/>
                <w:color w:val="auto"/>
                <w:highlight w:val="none"/>
              </w:rPr>
              <w:t>供应商具备中国网络安全审查认证和市场监管大数据中心（或原中国网络安全审查技术与认证中心）颁发的信息系统安全运维服务资质证书的，一级得2分，二级得1分，三级得0.5分，未提供的得0分。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5.供应商具备中国网络安全审查认证和市场监管大数据中心（或原中国网络安全审查技术与认证中心）颁发的信息安全应急处理服务资质证书的，一级得2分，二级得1分，三级得0.5分，未提供的得0分。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6.供应商具备ISO20000信息技术服务管理体系认证证书得1分，未提供得0分。</w:t>
            </w:r>
          </w:p>
        </w:tc>
        <w:tc>
          <w:tcPr>
            <w:tcW w:w="2230"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须提供在有效期内的证书或证明材料复印件并加盖供应商公章。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87" w:type="dxa"/>
            <w:vMerge w:val="continue"/>
            <w:vAlign w:val="center"/>
          </w:tcPr>
          <w:p>
            <w:pPr>
              <w:pageBreakBefore w:val="0"/>
              <w:kinsoku/>
              <w:wordWrap/>
              <w:overflowPunct/>
              <w:topLinePunct w:val="0"/>
              <w:autoSpaceDE/>
              <w:autoSpaceDN/>
              <w:bidi w:val="0"/>
              <w:adjustRightInd/>
              <w:spacing w:line="470" w:lineRule="exact"/>
              <w:ind w:left="0" w:leftChars="0" w:firstLine="28"/>
              <w:jc w:val="center"/>
              <w:textAlignment w:val="auto"/>
              <w:rPr>
                <w:rFonts w:hint="eastAsia"/>
                <w:bCs/>
                <w:color w:val="auto"/>
                <w:highlight w:val="none"/>
              </w:rPr>
            </w:pPr>
          </w:p>
        </w:tc>
        <w:tc>
          <w:tcPr>
            <w:tcW w:w="1072" w:type="dxa"/>
            <w:vMerge w:val="continue"/>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p>
        </w:tc>
        <w:tc>
          <w:tcPr>
            <w:tcW w:w="500"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3</w:t>
            </w:r>
          </w:p>
        </w:tc>
        <w:tc>
          <w:tcPr>
            <w:tcW w:w="5347"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售后服务：</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1.供应商承诺在重庆本地设立售后服务机构，提供本地化售后服务，得1分，未提供的得0分。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2.供应商具备售后服务认证证书且证书覆盖范围包含网络安全等级保护测评的得2分，未提供或不满足的得0分。</w:t>
            </w:r>
          </w:p>
        </w:tc>
        <w:tc>
          <w:tcPr>
            <w:tcW w:w="2230"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1.提供承诺书加盖供应商公章。</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2.提供证书复印件并加盖供应商公章。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87" w:type="dxa"/>
            <w:vMerge w:val="continue"/>
            <w:vAlign w:val="center"/>
          </w:tcPr>
          <w:p>
            <w:pPr>
              <w:pageBreakBefore w:val="0"/>
              <w:kinsoku/>
              <w:wordWrap/>
              <w:overflowPunct/>
              <w:topLinePunct w:val="0"/>
              <w:autoSpaceDE/>
              <w:autoSpaceDN/>
              <w:bidi w:val="0"/>
              <w:adjustRightInd/>
              <w:spacing w:line="470" w:lineRule="exact"/>
              <w:ind w:left="0" w:leftChars="0" w:firstLine="28"/>
              <w:jc w:val="center"/>
              <w:textAlignment w:val="auto"/>
              <w:rPr>
                <w:rFonts w:hint="eastAsia"/>
                <w:bCs/>
                <w:color w:val="auto"/>
                <w:highlight w:val="none"/>
              </w:rPr>
            </w:pPr>
          </w:p>
        </w:tc>
        <w:tc>
          <w:tcPr>
            <w:tcW w:w="1072" w:type="dxa"/>
            <w:vMerge w:val="continue"/>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p>
        </w:tc>
        <w:tc>
          <w:tcPr>
            <w:tcW w:w="500"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lang w:val="en-US" w:eastAsia="zh-CN"/>
              </w:rPr>
              <w:t>1</w:t>
            </w:r>
            <w:r>
              <w:rPr>
                <w:rFonts w:hint="eastAsia"/>
                <w:bCs/>
                <w:color w:val="auto"/>
                <w:highlight w:val="none"/>
              </w:rPr>
              <w:t>4</w:t>
            </w:r>
          </w:p>
        </w:tc>
        <w:tc>
          <w:tcPr>
            <w:tcW w:w="5347"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团队人员：</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lang w:val="en-US" w:eastAsia="zh-CN"/>
              </w:rPr>
              <w:t>1.</w:t>
            </w:r>
            <w:r>
              <w:rPr>
                <w:rFonts w:hint="eastAsia"/>
                <w:bCs/>
                <w:color w:val="auto"/>
                <w:highlight w:val="none"/>
              </w:rPr>
              <w:t>针对本项目应配置一名项目经理，该人员应具备信息（网络）安全等级测评师（高级）证书，在此基础上具备：</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lang w:val="en-US" w:eastAsia="zh-CN"/>
              </w:rPr>
              <w:t>①</w:t>
            </w:r>
            <w:r>
              <w:rPr>
                <w:rFonts w:hint="eastAsia"/>
                <w:bCs/>
                <w:color w:val="auto"/>
                <w:highlight w:val="none"/>
              </w:rPr>
              <w:t>项目管理专业人士资格证书（PMP）得1分；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②信息安全管理（高级）证书得1分；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③安全管理能力认证证书的得1分，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④数据合规官（DCO）证书</w:t>
            </w:r>
            <w:r>
              <w:rPr>
                <w:rFonts w:hint="eastAsia"/>
                <w:bCs/>
                <w:color w:val="auto"/>
                <w:highlight w:val="none"/>
                <w:lang w:eastAsia="zh-Hans"/>
              </w:rPr>
              <w:t>得</w:t>
            </w:r>
            <w:r>
              <w:rPr>
                <w:rFonts w:hint="eastAsia"/>
                <w:bCs/>
                <w:color w:val="auto"/>
                <w:highlight w:val="none"/>
              </w:rPr>
              <w:t>1</w:t>
            </w:r>
            <w:r>
              <w:rPr>
                <w:rFonts w:hint="eastAsia"/>
                <w:bCs/>
                <w:color w:val="auto"/>
                <w:highlight w:val="none"/>
                <w:lang w:eastAsia="zh-Hans"/>
              </w:rPr>
              <w:t>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lang w:val="en-US" w:eastAsia="zh-CN"/>
              </w:rPr>
              <w:t>2.</w:t>
            </w:r>
            <w:r>
              <w:rPr>
                <w:rFonts w:hint="eastAsia"/>
                <w:bCs/>
                <w:color w:val="auto"/>
                <w:highlight w:val="none"/>
              </w:rPr>
              <w:t>针对本项目应配置一名技术负责人，该人员应具备信息（网络）安全等级测评师（中级及以上）证书，在此基础上具备：</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①数据安全官（DSO）证书得1分；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②CISAW（风险管理专业级）证书得1分；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lang w:eastAsia="zh-Hans"/>
              </w:rPr>
            </w:pPr>
            <w:r>
              <w:rPr>
                <w:rFonts w:hint="eastAsia"/>
                <w:bCs/>
                <w:color w:val="auto"/>
                <w:highlight w:val="none"/>
              </w:rPr>
              <w:t>③个人信息保护专业人员证书得1</w:t>
            </w:r>
            <w:r>
              <w:rPr>
                <w:rFonts w:hint="eastAsia"/>
                <w:bCs/>
                <w:color w:val="auto"/>
                <w:highlight w:val="none"/>
                <w:lang w:eastAsia="zh-Hans"/>
              </w:rPr>
              <w:t>分</w:t>
            </w:r>
            <w:r>
              <w:rPr>
                <w:rFonts w:hint="eastAsia"/>
                <w:bCs/>
                <w:color w:val="auto"/>
                <w:highlight w:val="none"/>
              </w:rPr>
              <w:t>。</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3.项目专职服务人员具备网络安全架构师（高级）证书的得1分，未提供的得0分。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4.项目组成员中（除项目经理、技术负责人和专职服务人员外）信息网络安全专业人员认证（应急响应保障员），一个证书得2分，本项最多得4分，未提供得0分。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5.项目组成员中（除项目经理、技术负责人和专职服务人员外）具备注册信息安全工程师的，有1人得2分，最多得2分，未提供得0分。</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注：同一人员不可兼任多个岗位且同一人员多个证书不可重复得分。</w:t>
            </w:r>
          </w:p>
        </w:tc>
        <w:tc>
          <w:tcPr>
            <w:tcW w:w="2230" w:type="dxa"/>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须提供相关人员证书复印件或官网证明截图并加盖供应商公章，以及供应商为相关人员缴纳的近三个月（202</w:t>
            </w:r>
            <w:r>
              <w:rPr>
                <w:rFonts w:hint="eastAsia"/>
                <w:bCs/>
                <w:color w:val="auto"/>
                <w:highlight w:val="none"/>
                <w:lang w:val="en-US" w:eastAsia="zh-CN"/>
              </w:rPr>
              <w:t>6</w:t>
            </w:r>
            <w:r>
              <w:rPr>
                <w:rFonts w:hint="eastAsia"/>
                <w:bCs/>
                <w:color w:val="auto"/>
                <w:highlight w:val="none"/>
              </w:rPr>
              <w:t>年1月-202</w:t>
            </w:r>
            <w:r>
              <w:rPr>
                <w:rFonts w:hint="eastAsia"/>
                <w:bCs/>
                <w:color w:val="auto"/>
                <w:highlight w:val="none"/>
                <w:lang w:val="en-US" w:eastAsia="zh-CN"/>
              </w:rPr>
              <w:t>6</w:t>
            </w:r>
            <w:r>
              <w:rPr>
                <w:rFonts w:hint="eastAsia"/>
                <w:bCs/>
                <w:color w:val="auto"/>
                <w:highlight w:val="none"/>
              </w:rPr>
              <w:t>年</w:t>
            </w:r>
            <w:r>
              <w:rPr>
                <w:rFonts w:hint="eastAsia"/>
                <w:bCs/>
                <w:color w:val="auto"/>
                <w:highlight w:val="none"/>
                <w:lang w:val="en-US" w:eastAsia="zh-CN"/>
              </w:rPr>
              <w:t>3</w:t>
            </w:r>
            <w:r>
              <w:rPr>
                <w:rFonts w:hint="eastAsia"/>
                <w:bCs/>
                <w:color w:val="auto"/>
                <w:highlight w:val="none"/>
              </w:rPr>
              <w:t>月）社保证明材料。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87" w:type="dxa"/>
            <w:vMerge w:val="continue"/>
            <w:tcBorders>
              <w:bottom w:val="single" w:color="auto" w:sz="4" w:space="0"/>
            </w:tcBorders>
            <w:vAlign w:val="center"/>
          </w:tcPr>
          <w:p>
            <w:pPr>
              <w:pageBreakBefore w:val="0"/>
              <w:kinsoku/>
              <w:wordWrap/>
              <w:overflowPunct/>
              <w:topLinePunct w:val="0"/>
              <w:autoSpaceDE/>
              <w:autoSpaceDN/>
              <w:bidi w:val="0"/>
              <w:adjustRightInd/>
              <w:spacing w:line="470" w:lineRule="exact"/>
              <w:ind w:left="0" w:leftChars="0" w:firstLine="28"/>
              <w:jc w:val="center"/>
              <w:textAlignment w:val="auto"/>
              <w:rPr>
                <w:rFonts w:hint="eastAsia"/>
                <w:bCs/>
                <w:color w:val="auto"/>
                <w:highlight w:val="none"/>
              </w:rPr>
            </w:pPr>
          </w:p>
        </w:tc>
        <w:tc>
          <w:tcPr>
            <w:tcW w:w="1072" w:type="dxa"/>
            <w:vMerge w:val="continue"/>
            <w:tcBorders>
              <w:bottom w:val="single" w:color="auto" w:sz="4" w:space="0"/>
            </w:tcBorders>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p>
        </w:tc>
        <w:tc>
          <w:tcPr>
            <w:tcW w:w="50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4</w:t>
            </w:r>
          </w:p>
        </w:tc>
        <w:tc>
          <w:tcPr>
            <w:tcW w:w="534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业绩:</w:t>
            </w:r>
          </w:p>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自202</w:t>
            </w:r>
            <w:r>
              <w:rPr>
                <w:rFonts w:hint="eastAsia"/>
                <w:bCs/>
                <w:color w:val="auto"/>
                <w:highlight w:val="none"/>
                <w:lang w:val="en-US" w:eastAsia="zh-CN"/>
              </w:rPr>
              <w:t>4</w:t>
            </w:r>
            <w:r>
              <w:rPr>
                <w:rFonts w:hint="eastAsia"/>
                <w:bCs/>
                <w:color w:val="auto"/>
                <w:highlight w:val="none"/>
              </w:rPr>
              <w:t>年1月1（含）日至今，供应商具备三级系统等保测评案例的，每提供一个得2分，最多得4分，未提供的得0分。</w:t>
            </w:r>
          </w:p>
        </w:tc>
        <w:tc>
          <w:tcPr>
            <w:tcW w:w="223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470" w:lineRule="exact"/>
              <w:ind w:left="0" w:leftChars="0" w:firstLine="28"/>
              <w:jc w:val="left"/>
              <w:textAlignment w:val="auto"/>
              <w:rPr>
                <w:rFonts w:hint="eastAsia"/>
                <w:bCs/>
                <w:color w:val="auto"/>
                <w:highlight w:val="none"/>
              </w:rPr>
            </w:pPr>
            <w:r>
              <w:rPr>
                <w:rFonts w:hint="eastAsia"/>
                <w:bCs/>
                <w:color w:val="auto"/>
                <w:highlight w:val="none"/>
              </w:rPr>
              <w:t>提供合同关键页复印件加盖供应商公章（合同需包含项目名称，双方签章清晰等，系统等级）因合同信息不全或不清晰导致无法判定的，单个合同不得分。</w:t>
            </w:r>
          </w:p>
        </w:tc>
      </w:tr>
    </w:tbl>
    <w:p>
      <w:pPr>
        <w:pageBreakBefore w:val="0"/>
        <w:kinsoku/>
        <w:wordWrap/>
        <w:overflowPunct/>
        <w:topLinePunct w:val="0"/>
        <w:autoSpaceDE/>
        <w:autoSpaceDN/>
        <w:bidi w:val="0"/>
        <w:adjustRightInd/>
        <w:snapToGrid w:val="0"/>
        <w:spacing w:line="470" w:lineRule="exact"/>
        <w:ind w:left="0" w:leftChars="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出现以下情况之一的，应重新组织采购：</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（1）出现影响采购公正的违法、违规行为的；</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投标单位</w:t>
      </w:r>
      <w:r>
        <w:rPr>
          <w:rFonts w:hint="eastAsia" w:asciiTheme="minorEastAsia" w:hAnsiTheme="minorEastAsia" w:eastAsiaTheme="minorEastAsia" w:cstheme="minorEastAsia"/>
          <w:sz w:val="24"/>
          <w:szCs w:val="24"/>
        </w:rPr>
        <w:t>的报价均超过了采购预算，采购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不能支付的；</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（3）因不可抗力导致重大变故，采购任务取消的。</w:t>
      </w:r>
    </w:p>
    <w:p>
      <w:pPr>
        <w:pStyle w:val="4"/>
        <w:pageBreakBefore w:val="0"/>
        <w:kinsoku/>
        <w:wordWrap/>
        <w:overflowPunct/>
        <w:topLinePunct w:val="0"/>
        <w:autoSpaceDE/>
        <w:autoSpaceDN/>
        <w:bidi w:val="0"/>
        <w:adjustRightInd/>
        <w:spacing w:line="470" w:lineRule="exact"/>
        <w:ind w:left="0" w:leftChars="0"/>
        <w:textAlignment w:val="auto"/>
        <w:rPr>
          <w:rStyle w:val="12"/>
          <w:rFonts w:hint="eastAsia"/>
          <w:color w:val="FF0000"/>
          <w:lang w:val="en-US" w:eastAsia="zh-CN"/>
        </w:rPr>
      </w:pPr>
      <w:r>
        <w:rPr>
          <w:rStyle w:val="12"/>
          <w:rFonts w:hint="eastAsia"/>
          <w:color w:val="FF0000"/>
          <w:lang w:val="en-US" w:eastAsia="zh-CN"/>
        </w:rPr>
        <w:t xml:space="preserve">九、采购异常低价处理 </w:t>
      </w:r>
    </w:p>
    <w:p>
      <w:pPr>
        <w:keepNext w:val="0"/>
        <w:keepLines w:val="0"/>
        <w:pageBreakBefore w:val="0"/>
        <w:widowControl/>
        <w:suppressLineNumbers w:val="0"/>
        <w:kinsoku/>
        <w:wordWrap/>
        <w:overflowPunct/>
        <w:topLinePunct w:val="0"/>
        <w:autoSpaceDE/>
        <w:autoSpaceDN/>
        <w:bidi w:val="0"/>
        <w:adjustRightInd/>
        <w:spacing w:line="470" w:lineRule="exact"/>
        <w:ind w:left="0" w:leftChars="0" w:firstLine="480" w:firstLineChars="200"/>
        <w:jc w:val="left"/>
        <w:textAlignment w:val="auto"/>
        <w:rPr>
          <w:color w:val="FF0000"/>
        </w:rPr>
      </w:pPr>
      <w:r>
        <w:rPr>
          <w:rFonts w:hint="eastAsia" w:ascii="宋体" w:hAnsi="宋体" w:eastAsia="宋体" w:cs="宋体"/>
          <w:color w:val="FF0000"/>
          <w:kern w:val="0"/>
          <w:sz w:val="24"/>
          <w:szCs w:val="24"/>
          <w:lang w:val="en-US" w:eastAsia="zh-CN" w:bidi="ar"/>
        </w:rPr>
        <w:t xml:space="preserve">（一）采购评审中出现下列情形之一的，应当启动异常低价投标（响应）审查程序： </w:t>
      </w:r>
    </w:p>
    <w:p>
      <w:pPr>
        <w:keepNext w:val="0"/>
        <w:keepLines w:val="0"/>
        <w:pageBreakBefore w:val="0"/>
        <w:widowControl/>
        <w:suppressLineNumbers w:val="0"/>
        <w:kinsoku/>
        <w:wordWrap/>
        <w:overflowPunct/>
        <w:topLinePunct w:val="0"/>
        <w:autoSpaceDE/>
        <w:autoSpaceDN/>
        <w:bidi w:val="0"/>
        <w:adjustRightInd/>
        <w:spacing w:line="470" w:lineRule="exact"/>
        <w:ind w:left="0" w:leftChars="0" w:firstLine="480" w:firstLineChars="200"/>
        <w:jc w:val="left"/>
        <w:textAlignment w:val="auto"/>
        <w:rPr>
          <w:color w:val="FF0000"/>
        </w:rPr>
      </w:pPr>
      <w:r>
        <w:rPr>
          <w:rFonts w:hint="eastAsia" w:ascii="宋体" w:hAnsi="宋体" w:eastAsia="宋体" w:cs="宋体"/>
          <w:color w:val="FF0000"/>
          <w:kern w:val="0"/>
          <w:sz w:val="24"/>
          <w:szCs w:val="24"/>
          <w:lang w:val="en-US" w:eastAsia="zh-CN" w:bidi="ar"/>
        </w:rPr>
        <w:t>1.投标（响应）报价低于全部通过符合性审查供应商投标（响应）报价平均值</w:t>
      </w:r>
      <w:r>
        <w:rPr>
          <w:rFonts w:hint="eastAsia" w:ascii="宋体" w:hAnsi="宋体" w:cs="宋体"/>
          <w:color w:val="FF0000"/>
          <w:kern w:val="0"/>
          <w:sz w:val="24"/>
          <w:szCs w:val="24"/>
          <w:lang w:val="en-US" w:eastAsia="zh-CN" w:bidi="ar"/>
        </w:rPr>
        <w:t>65</w:t>
      </w:r>
      <w:r>
        <w:rPr>
          <w:rFonts w:hint="eastAsia" w:ascii="宋体" w:hAnsi="宋体" w:eastAsia="宋体" w:cs="宋体"/>
          <w:color w:val="FF0000"/>
          <w:kern w:val="0"/>
          <w:sz w:val="24"/>
          <w:szCs w:val="24"/>
          <w:lang w:val="en-US" w:eastAsia="zh-CN" w:bidi="ar"/>
        </w:rPr>
        <w:t>%的，即投标（响应）报价&lt;全部通过符合性审查供应商投标（响应）报价平均值×</w:t>
      </w:r>
      <w:r>
        <w:rPr>
          <w:rFonts w:hint="eastAsia" w:ascii="宋体" w:hAnsi="宋体" w:cs="宋体"/>
          <w:color w:val="FF0000"/>
          <w:kern w:val="0"/>
          <w:sz w:val="24"/>
          <w:szCs w:val="24"/>
          <w:lang w:val="en-US" w:eastAsia="zh-CN" w:bidi="ar"/>
        </w:rPr>
        <w:t>65</w:t>
      </w:r>
      <w:r>
        <w:rPr>
          <w:rFonts w:hint="eastAsia" w:ascii="宋体" w:hAnsi="宋体" w:eastAsia="宋体" w:cs="宋体"/>
          <w:color w:val="FF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pacing w:line="470" w:lineRule="exact"/>
        <w:ind w:left="0" w:leftChars="0" w:firstLine="480" w:firstLineChars="200"/>
        <w:jc w:val="left"/>
        <w:textAlignment w:val="auto"/>
        <w:rPr>
          <w:color w:val="FF0000"/>
        </w:rPr>
      </w:pPr>
      <w:r>
        <w:rPr>
          <w:rFonts w:hint="eastAsia" w:ascii="宋体" w:hAnsi="宋体" w:eastAsia="宋体" w:cs="宋体"/>
          <w:color w:val="FF0000"/>
          <w:kern w:val="0"/>
          <w:sz w:val="24"/>
          <w:szCs w:val="24"/>
          <w:lang w:val="en-US" w:eastAsia="zh-CN" w:bidi="ar"/>
        </w:rPr>
        <w:t>2.投标（响应）报价低于通过符合性审查的次低报价供应商投标（响应）报价</w:t>
      </w:r>
      <w:r>
        <w:rPr>
          <w:rFonts w:hint="eastAsia" w:ascii="宋体" w:hAnsi="宋体" w:cs="宋体"/>
          <w:color w:val="FF0000"/>
          <w:kern w:val="0"/>
          <w:sz w:val="24"/>
          <w:szCs w:val="24"/>
          <w:lang w:val="en-US" w:eastAsia="zh-CN" w:bidi="ar"/>
        </w:rPr>
        <w:t>65</w:t>
      </w:r>
      <w:r>
        <w:rPr>
          <w:rFonts w:hint="eastAsia" w:ascii="宋体" w:hAnsi="宋体" w:eastAsia="宋体" w:cs="宋体"/>
          <w:color w:val="FF0000"/>
          <w:kern w:val="0"/>
          <w:sz w:val="24"/>
          <w:szCs w:val="24"/>
          <w:lang w:val="en-US" w:eastAsia="zh-CN" w:bidi="ar"/>
        </w:rPr>
        <w:t>%的，即投标（响应）报价&lt;通过符合性审查的次低报价供应商投标（响应）报价×</w:t>
      </w:r>
      <w:r>
        <w:rPr>
          <w:rFonts w:hint="eastAsia" w:ascii="宋体" w:hAnsi="宋体" w:cs="宋体"/>
          <w:color w:val="FF0000"/>
          <w:kern w:val="0"/>
          <w:sz w:val="24"/>
          <w:szCs w:val="24"/>
          <w:lang w:val="en-US" w:eastAsia="zh-CN" w:bidi="ar"/>
        </w:rPr>
        <w:t>65</w:t>
      </w:r>
      <w:r>
        <w:rPr>
          <w:rFonts w:hint="eastAsia" w:ascii="宋体" w:hAnsi="宋体" w:eastAsia="宋体" w:cs="宋体"/>
          <w:color w:val="FF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pacing w:line="470" w:lineRule="exact"/>
        <w:ind w:left="0" w:leftChars="0"/>
        <w:jc w:val="left"/>
        <w:textAlignment w:val="auto"/>
        <w:rPr>
          <w:color w:val="FF0000"/>
        </w:rPr>
      </w:pPr>
      <w:r>
        <w:rPr>
          <w:rFonts w:hint="eastAsia" w:ascii="宋体" w:hAnsi="宋体" w:eastAsia="宋体" w:cs="宋体"/>
          <w:color w:val="FF0000"/>
          <w:kern w:val="0"/>
          <w:sz w:val="24"/>
          <w:szCs w:val="24"/>
          <w:lang w:val="en-US" w:eastAsia="zh-CN" w:bidi="ar"/>
        </w:rPr>
        <w:t xml:space="preserve">   3.投标（响应）报价低于采购项目最高限价</w:t>
      </w:r>
      <w:r>
        <w:rPr>
          <w:rFonts w:hint="eastAsia" w:ascii="宋体" w:hAnsi="宋体" w:cs="宋体"/>
          <w:color w:val="FF0000"/>
          <w:kern w:val="0"/>
          <w:sz w:val="24"/>
          <w:szCs w:val="24"/>
          <w:lang w:val="en-US" w:eastAsia="zh-CN" w:bidi="ar"/>
        </w:rPr>
        <w:t>65</w:t>
      </w:r>
      <w:r>
        <w:rPr>
          <w:rFonts w:hint="eastAsia" w:ascii="宋体" w:hAnsi="宋体" w:eastAsia="宋体" w:cs="宋体"/>
          <w:color w:val="FF0000"/>
          <w:kern w:val="0"/>
          <w:sz w:val="24"/>
          <w:szCs w:val="24"/>
          <w:lang w:val="en-US" w:eastAsia="zh-CN" w:bidi="ar"/>
        </w:rPr>
        <w:t>%的，即投标（响应）报价&lt;采购项目最高限价×</w:t>
      </w:r>
      <w:r>
        <w:rPr>
          <w:rFonts w:hint="eastAsia" w:ascii="宋体" w:hAnsi="宋体" w:cs="宋体"/>
          <w:color w:val="FF0000"/>
          <w:kern w:val="0"/>
          <w:sz w:val="24"/>
          <w:szCs w:val="24"/>
          <w:lang w:val="en-US" w:eastAsia="zh-CN" w:bidi="ar"/>
        </w:rPr>
        <w:t>65</w:t>
      </w:r>
      <w:r>
        <w:rPr>
          <w:rFonts w:hint="eastAsia" w:ascii="宋体" w:hAnsi="宋体" w:eastAsia="宋体" w:cs="宋体"/>
          <w:color w:val="FF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pacing w:line="470" w:lineRule="exact"/>
        <w:ind w:left="0" w:leftChars="0"/>
        <w:jc w:val="left"/>
        <w:textAlignment w:val="auto"/>
        <w:rPr>
          <w:color w:val="FF0000"/>
        </w:rPr>
      </w:pPr>
      <w:r>
        <w:rPr>
          <w:rFonts w:hint="eastAsia" w:ascii="宋体" w:hAnsi="宋体" w:eastAsia="宋体" w:cs="宋体"/>
          <w:color w:val="FF0000"/>
          <w:kern w:val="0"/>
          <w:sz w:val="24"/>
          <w:szCs w:val="24"/>
          <w:lang w:val="en-US" w:eastAsia="zh-CN" w:bidi="ar"/>
        </w:rPr>
        <w:t xml:space="preserve">   4.评审</w:t>
      </w:r>
      <w:r>
        <w:rPr>
          <w:rFonts w:hint="eastAsia" w:ascii="宋体" w:hAnsi="宋体" w:cs="宋体"/>
          <w:color w:val="FF0000"/>
          <w:kern w:val="0"/>
          <w:sz w:val="24"/>
          <w:szCs w:val="24"/>
          <w:lang w:val="en-US" w:eastAsia="zh-CN" w:bidi="ar"/>
        </w:rPr>
        <w:t>专家</w:t>
      </w:r>
      <w:r>
        <w:rPr>
          <w:rFonts w:hint="eastAsia" w:ascii="宋体" w:hAnsi="宋体" w:eastAsia="宋体" w:cs="宋体"/>
          <w:color w:val="FF0000"/>
          <w:kern w:val="0"/>
          <w:sz w:val="24"/>
          <w:szCs w:val="24"/>
          <w:lang w:val="en-US" w:eastAsia="zh-CN" w:bidi="ar"/>
        </w:rPr>
        <w:t xml:space="preserve">基于专业判断，认为供应商报价过低，有可能影响产品质量或者不能诚信履约的其他情形。 </w:t>
      </w:r>
    </w:p>
    <w:p>
      <w:pPr>
        <w:keepNext w:val="0"/>
        <w:keepLines w:val="0"/>
        <w:pageBreakBefore w:val="0"/>
        <w:widowControl/>
        <w:suppressLineNumbers w:val="0"/>
        <w:kinsoku/>
        <w:wordWrap/>
        <w:overflowPunct/>
        <w:topLinePunct w:val="0"/>
        <w:autoSpaceDE/>
        <w:autoSpaceDN/>
        <w:bidi w:val="0"/>
        <w:adjustRightInd/>
        <w:spacing w:line="470" w:lineRule="exact"/>
        <w:ind w:left="0" w:leftChars="0" w:firstLine="480" w:firstLineChars="200"/>
        <w:jc w:val="left"/>
        <w:textAlignment w:val="auto"/>
        <w:rPr>
          <w:color w:val="FF0000"/>
        </w:rPr>
      </w:pPr>
      <w:r>
        <w:rPr>
          <w:rFonts w:hint="eastAsia" w:ascii="宋体" w:hAnsi="宋体" w:eastAsia="宋体" w:cs="宋体"/>
          <w:color w:val="FF0000"/>
          <w:kern w:val="0"/>
          <w:sz w:val="24"/>
          <w:szCs w:val="24"/>
          <w:lang w:val="en-US" w:eastAsia="zh-CN" w:bidi="ar"/>
        </w:rPr>
        <w:t>（二）评审</w:t>
      </w:r>
      <w:r>
        <w:rPr>
          <w:rFonts w:hint="eastAsia" w:ascii="宋体" w:hAnsi="宋体" w:cs="宋体"/>
          <w:color w:val="FF0000"/>
          <w:kern w:val="0"/>
          <w:sz w:val="24"/>
          <w:szCs w:val="24"/>
          <w:lang w:val="en-US" w:eastAsia="zh-CN" w:bidi="ar"/>
        </w:rPr>
        <w:t>专家</w:t>
      </w:r>
      <w:r>
        <w:rPr>
          <w:rFonts w:hint="eastAsia" w:ascii="宋体" w:hAnsi="宋体" w:eastAsia="宋体" w:cs="宋体"/>
          <w:color w:val="FF0000"/>
          <w:kern w:val="0"/>
          <w:sz w:val="24"/>
          <w:szCs w:val="24"/>
          <w:lang w:val="en-US" w:eastAsia="zh-CN" w:bidi="ar"/>
        </w:rPr>
        <w:t>启动异常低价投标（响应）审查后，属于前述第1项至第4项情形的，应当要求相关供应商在评审现场合理的时间内对投标（响应）价格作出解释</w:t>
      </w:r>
      <w:r>
        <w:rPr>
          <w:rFonts w:hint="eastAsia" w:ascii="宋体" w:hAnsi="宋体" w:cs="宋体"/>
          <w:color w:val="FF0000"/>
          <w:kern w:val="0"/>
          <w:sz w:val="24"/>
          <w:szCs w:val="24"/>
          <w:lang w:val="en-US" w:eastAsia="zh-CN" w:bidi="ar"/>
        </w:rPr>
        <w:t>，并</w:t>
      </w:r>
      <w:r>
        <w:rPr>
          <w:rFonts w:hint="eastAsia" w:ascii="宋体" w:hAnsi="宋体" w:eastAsia="宋体" w:cs="宋体"/>
          <w:color w:val="FF0000"/>
          <w:kern w:val="0"/>
          <w:sz w:val="24"/>
          <w:szCs w:val="24"/>
          <w:lang w:val="en-US" w:eastAsia="zh-CN" w:bidi="ar"/>
        </w:rPr>
        <w:t xml:space="preserve">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keepNext w:val="0"/>
        <w:keepLines w:val="0"/>
        <w:pageBreakBefore w:val="0"/>
        <w:widowControl/>
        <w:suppressLineNumbers w:val="0"/>
        <w:kinsoku/>
        <w:wordWrap/>
        <w:overflowPunct/>
        <w:topLinePunct w:val="0"/>
        <w:autoSpaceDE/>
        <w:autoSpaceDN/>
        <w:bidi w:val="0"/>
        <w:adjustRightInd/>
        <w:spacing w:line="470" w:lineRule="exact"/>
        <w:ind w:left="0" w:leftChars="0"/>
        <w:jc w:val="left"/>
        <w:textAlignment w:val="auto"/>
        <w:rPr>
          <w:color w:val="FF0000"/>
        </w:rPr>
      </w:pPr>
      <w:r>
        <w:rPr>
          <w:rFonts w:hint="eastAsia" w:ascii="宋体" w:hAnsi="宋体" w:eastAsia="宋体" w:cs="宋体"/>
          <w:color w:val="FF0000"/>
          <w:kern w:val="0"/>
          <w:sz w:val="24"/>
          <w:szCs w:val="24"/>
          <w:lang w:val="en-US" w:eastAsia="zh-CN" w:bidi="ar"/>
        </w:rPr>
        <w:t>评审</w:t>
      </w:r>
      <w:r>
        <w:rPr>
          <w:rFonts w:hint="eastAsia" w:ascii="宋体" w:hAnsi="宋体" w:cs="宋体"/>
          <w:color w:val="FF0000"/>
          <w:kern w:val="0"/>
          <w:sz w:val="24"/>
          <w:szCs w:val="24"/>
          <w:lang w:val="en-US" w:eastAsia="zh-CN" w:bidi="ar"/>
        </w:rPr>
        <w:t>专家</w:t>
      </w:r>
      <w:r>
        <w:rPr>
          <w:rFonts w:hint="eastAsia" w:ascii="宋体" w:hAnsi="宋体" w:eastAsia="宋体" w:cs="宋体"/>
          <w:color w:val="FF0000"/>
          <w:kern w:val="0"/>
          <w:sz w:val="24"/>
          <w:szCs w:val="24"/>
          <w:lang w:val="en-US" w:eastAsia="zh-CN" w:bidi="ar"/>
        </w:rPr>
        <w:t xml:space="preserve">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pPr>
        <w:keepNext w:val="0"/>
        <w:keepLines w:val="0"/>
        <w:pageBreakBefore w:val="0"/>
        <w:widowControl/>
        <w:suppressLineNumbers w:val="0"/>
        <w:kinsoku/>
        <w:wordWrap/>
        <w:overflowPunct/>
        <w:topLinePunct w:val="0"/>
        <w:autoSpaceDE/>
        <w:autoSpaceDN/>
        <w:bidi w:val="0"/>
        <w:adjustRightInd/>
        <w:spacing w:line="470" w:lineRule="exact"/>
        <w:ind w:left="0" w:leftChars="0" w:firstLine="480" w:firstLineChars="200"/>
        <w:jc w:val="left"/>
        <w:textAlignment w:val="auto"/>
        <w:rPr>
          <w:rFonts w:hint="eastAsia" w:asciiTheme="minorEastAsia" w:hAnsiTheme="minorEastAsia" w:eastAsiaTheme="minorEastAsia" w:cstheme="minorEastAsia"/>
          <w:color w:val="FF0000"/>
          <w:sz w:val="24"/>
          <w:szCs w:val="24"/>
        </w:rPr>
      </w:pPr>
      <w:r>
        <w:rPr>
          <w:rFonts w:hint="eastAsia" w:ascii="宋体" w:hAnsi="宋体" w:eastAsia="宋体" w:cs="宋体"/>
          <w:color w:val="FF0000"/>
          <w:kern w:val="0"/>
          <w:sz w:val="24"/>
          <w:szCs w:val="24"/>
          <w:lang w:val="en-US" w:eastAsia="zh-CN" w:bidi="ar"/>
        </w:rPr>
        <w:t>采购人、采购代理机构应当为评审</w:t>
      </w:r>
      <w:r>
        <w:rPr>
          <w:rFonts w:hint="eastAsia" w:ascii="宋体" w:hAnsi="宋体" w:cs="宋体"/>
          <w:color w:val="FF0000"/>
          <w:kern w:val="0"/>
          <w:sz w:val="24"/>
          <w:szCs w:val="24"/>
          <w:lang w:val="en-US" w:eastAsia="zh-CN" w:bidi="ar"/>
        </w:rPr>
        <w:t>专家</w:t>
      </w:r>
      <w:r>
        <w:rPr>
          <w:rFonts w:hint="eastAsia" w:ascii="宋体" w:hAnsi="宋体" w:eastAsia="宋体" w:cs="宋体"/>
          <w:color w:val="FF0000"/>
          <w:kern w:val="0"/>
          <w:sz w:val="24"/>
          <w:szCs w:val="24"/>
          <w:lang w:val="en-US" w:eastAsia="zh-CN" w:bidi="ar"/>
        </w:rPr>
        <w:t>在评审现场及时获取同类项目中标（成交）价格、类似产品市场价格水平、行业人工费用标准、国家有关部门指导行业协会发布的行业平均成本等相关信息资料提供便利。评审委员会借助互联网等渠道查询相关</w:t>
      </w:r>
      <w:r>
        <w:rPr>
          <w:rFonts w:hint="eastAsia" w:ascii="宋体" w:hAnsi="宋体" w:cs="宋体"/>
          <w:color w:val="FF0000"/>
          <w:kern w:val="0"/>
          <w:sz w:val="24"/>
          <w:szCs w:val="24"/>
          <w:lang w:val="en-US" w:eastAsia="zh-CN" w:bidi="ar"/>
        </w:rPr>
        <w:t>信息</w:t>
      </w:r>
      <w:r>
        <w:rPr>
          <w:rFonts w:hint="eastAsia" w:ascii="宋体" w:hAnsi="宋体" w:eastAsia="宋体" w:cs="宋体"/>
          <w:color w:val="FF0000"/>
          <w:kern w:val="0"/>
          <w:sz w:val="24"/>
          <w:szCs w:val="24"/>
          <w:lang w:val="en-US" w:eastAsia="zh-CN" w:bidi="ar"/>
        </w:rPr>
        <w:t xml:space="preserve">的，应当严格遵守评审工作纪律，不得实施影响评审公正的行为。 </w:t>
      </w:r>
    </w:p>
    <w:p>
      <w:pPr>
        <w:pStyle w:val="4"/>
        <w:pageBreakBefore w:val="0"/>
        <w:kinsoku/>
        <w:wordWrap/>
        <w:overflowPunct/>
        <w:topLinePunct w:val="0"/>
        <w:autoSpaceDE/>
        <w:autoSpaceDN/>
        <w:bidi w:val="0"/>
        <w:adjustRightInd/>
        <w:spacing w:line="470" w:lineRule="exact"/>
        <w:ind w:left="0" w:leftChars="0"/>
        <w:textAlignment w:val="auto"/>
        <w:rPr>
          <w:rStyle w:val="12"/>
          <w:rFonts w:hint="eastAsia"/>
          <w:lang w:val="en-US" w:eastAsia="zh-CN"/>
        </w:rPr>
      </w:pPr>
      <w:bookmarkStart w:id="13" w:name="_Toc372538157"/>
      <w:bookmarkStart w:id="14" w:name="_Toc187655633"/>
      <w:bookmarkStart w:id="15" w:name="_Toc102227321"/>
      <w:r>
        <w:rPr>
          <w:rStyle w:val="12"/>
          <w:rFonts w:hint="eastAsia"/>
          <w:lang w:val="en-US" w:eastAsia="zh-CN"/>
        </w:rPr>
        <w:t>十、成交通知</w:t>
      </w:r>
      <w:bookmarkEnd w:id="13"/>
      <w:bookmarkEnd w:id="14"/>
      <w:bookmarkEnd w:id="15"/>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将以书面形式发出《</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通知书》一经发出即发生法律效力。</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通知书》将作为签订合同的依据。</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签订合同时，采购单位根据需要有权提出对技术条件发生变化的货物、服务或者工程作局部调整或变更数量，但需经双方共同认定。</w:t>
      </w:r>
    </w:p>
    <w:p>
      <w:pPr>
        <w:pStyle w:val="4"/>
        <w:pageBreakBefore w:val="0"/>
        <w:kinsoku/>
        <w:wordWrap/>
        <w:overflowPunct/>
        <w:topLinePunct w:val="0"/>
        <w:autoSpaceDE/>
        <w:autoSpaceDN/>
        <w:bidi w:val="0"/>
        <w:adjustRightInd/>
        <w:spacing w:line="470" w:lineRule="exact"/>
        <w:ind w:left="0" w:leftChars="0"/>
        <w:textAlignment w:val="auto"/>
        <w:rPr>
          <w:rStyle w:val="12"/>
          <w:rFonts w:hint="eastAsia"/>
          <w:lang w:val="en-US" w:eastAsia="zh-CN"/>
        </w:rPr>
      </w:pPr>
      <w:bookmarkStart w:id="16" w:name="_Toc102227322"/>
      <w:bookmarkStart w:id="17" w:name="_Toc372538158"/>
      <w:bookmarkStart w:id="18" w:name="_Toc187655634"/>
      <w:r>
        <w:rPr>
          <w:rStyle w:val="12"/>
          <w:rFonts w:hint="eastAsia"/>
          <w:lang w:val="en-US" w:eastAsia="zh-CN"/>
        </w:rPr>
        <w:t>十一、签订</w:t>
      </w:r>
      <w:bookmarkEnd w:id="16"/>
      <w:r>
        <w:rPr>
          <w:rStyle w:val="12"/>
          <w:rFonts w:hint="eastAsia"/>
          <w:lang w:val="en-US" w:eastAsia="zh-CN"/>
        </w:rPr>
        <w:t>合同</w:t>
      </w:r>
      <w:bookmarkEnd w:id="17"/>
      <w:bookmarkEnd w:id="18"/>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中标单位按《中标通知书》指定时间、地点与采购单位签订采购合同。</w:t>
      </w:r>
    </w:p>
    <w:p>
      <w:pPr>
        <w:pageBreakBefore w:val="0"/>
        <w:kinsoku/>
        <w:wordWrap/>
        <w:overflowPunct/>
        <w:topLinePunct w:val="0"/>
        <w:autoSpaceDE/>
        <w:autoSpaceDN/>
        <w:bidi w:val="0"/>
        <w:adjustRightInd/>
        <w:snapToGrid w:val="0"/>
        <w:spacing w:line="47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本询比文件、中标单位的投标文件及有效承诺文件等，均为签订合同的依据。</w:t>
      </w:r>
    </w:p>
    <w:p>
      <w:pPr>
        <w:pStyle w:val="4"/>
        <w:pageBreakBefore w:val="0"/>
        <w:kinsoku/>
        <w:wordWrap/>
        <w:overflowPunct/>
        <w:topLinePunct w:val="0"/>
        <w:autoSpaceDE/>
        <w:autoSpaceDN/>
        <w:bidi w:val="0"/>
        <w:adjustRightInd/>
        <w:spacing w:line="470" w:lineRule="exact"/>
        <w:ind w:left="0" w:leftChars="0"/>
        <w:textAlignment w:val="auto"/>
        <w:rPr>
          <w:rStyle w:val="12"/>
          <w:rFonts w:hint="eastAsia"/>
          <w:lang w:val="en-US" w:eastAsia="zh-CN"/>
        </w:rPr>
      </w:pPr>
      <w:r>
        <w:rPr>
          <w:rStyle w:val="12"/>
          <w:rFonts w:hint="eastAsia"/>
          <w:lang w:val="en-US" w:eastAsia="zh-CN"/>
        </w:rPr>
        <w:t>十二、采购执行</w:t>
      </w:r>
    </w:p>
    <w:p>
      <w:pPr>
        <w:pageBreakBefore w:val="0"/>
        <w:kinsoku/>
        <w:wordWrap/>
        <w:overflowPunct/>
        <w:topLinePunct w:val="0"/>
        <w:autoSpaceDE/>
        <w:autoSpaceDN/>
        <w:bidi w:val="0"/>
        <w:adjustRightInd/>
        <w:spacing w:beforeAutospacing="0" w:afterAutospacing="0" w:line="470" w:lineRule="exact"/>
        <w:ind w:left="0" w:leftChars="0" w:right="0"/>
        <w:textAlignment w:val="auto"/>
        <w:rPr>
          <w:rFonts w:hint="eastAsia" w:ascii="宋体" w:hAnsi="宋体" w:cs="Arial"/>
          <w:color w:val="auto"/>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宋体" w:hAnsi="宋体" w:cs="Arial"/>
          <w:color w:val="auto"/>
          <w:sz w:val="24"/>
          <w:szCs w:val="24"/>
          <w:lang w:val="en-US" w:eastAsia="zh-CN"/>
        </w:rPr>
        <w:t>1.投标单位中标后，应按照本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文件要求在中标通知书发出之日起30日内和采购单位签订合同，保质保量完成采购任务；</w:t>
      </w:r>
    </w:p>
    <w:p>
      <w:pPr>
        <w:pageBreakBefore w:val="0"/>
        <w:kinsoku/>
        <w:wordWrap/>
        <w:overflowPunct/>
        <w:topLinePunct w:val="0"/>
        <w:autoSpaceDE/>
        <w:autoSpaceDN/>
        <w:bidi w:val="0"/>
        <w:adjustRightInd/>
        <w:spacing w:beforeAutospacing="0" w:afterAutospacing="0" w:line="470" w:lineRule="exact"/>
        <w:ind w:left="0" w:leftChars="0" w:right="0"/>
        <w:textAlignment w:val="auto"/>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   2.本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文件中未提到的采购内容或者采购内容局部调整，双方本着公平公正的原则友好协商解决；</w:t>
      </w:r>
    </w:p>
    <w:p>
      <w:pPr>
        <w:pageBreakBefore w:val="0"/>
        <w:tabs>
          <w:tab w:val="left" w:pos="6300"/>
        </w:tabs>
        <w:kinsoku/>
        <w:wordWrap/>
        <w:overflowPunct/>
        <w:topLinePunct w:val="0"/>
        <w:autoSpaceDE/>
        <w:autoSpaceDN/>
        <w:bidi w:val="0"/>
        <w:adjustRightInd/>
        <w:snapToGrid w:val="0"/>
        <w:spacing w:line="470" w:lineRule="exact"/>
        <w:ind w:left="0" w:leftChars="0" w:firstLine="480" w:firstLineChars="200"/>
        <w:textAlignment w:val="auto"/>
        <w:rPr>
          <w:rFonts w:hint="eastAsia" w:ascii="宋体" w:hAnsi="宋体" w:cs="Arial"/>
          <w:color w:val="auto"/>
          <w:sz w:val="24"/>
          <w:szCs w:val="24"/>
          <w:lang w:val="en-US" w:eastAsia="zh-CN"/>
        </w:rPr>
      </w:pP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投标单位中标后因自身原因不能按时保质保量完成采购任务</w:t>
      </w:r>
      <w:r>
        <w:rPr>
          <w:rFonts w:hint="eastAsia" w:asciiTheme="minorEastAsia" w:hAnsiTheme="minorEastAsia" w:cstheme="minorEastAsia"/>
          <w:sz w:val="24"/>
          <w:szCs w:val="24"/>
          <w:lang w:eastAsia="zh-CN"/>
        </w:rPr>
        <w:t>，</w:t>
      </w:r>
      <w:r>
        <w:rPr>
          <w:rFonts w:hint="eastAsia" w:ascii="宋体" w:hAnsi="宋体" w:cs="Arial"/>
          <w:sz w:val="24"/>
          <w:szCs w:val="24"/>
          <w:lang w:val="en-US" w:eastAsia="zh-CN"/>
        </w:rPr>
        <w:t>采购单位有权要求中标单位赔偿全部损失。</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Style w:val="12"/>
          <w:rFonts w:hint="eastAsia" w:ascii="Arial" w:hAnsi="Arial" w:eastAsia="黑体" w:cstheme="minorBidi"/>
          <w:b/>
          <w:color w:val="FF0000"/>
          <w:kern w:val="2"/>
          <w:sz w:val="32"/>
          <w:szCs w:val="22"/>
          <w:lang w:val="en-US" w:eastAsia="zh-CN" w:bidi="ar-SA"/>
        </w:rPr>
      </w:pPr>
      <w:bookmarkStart w:id="19" w:name="_Toc372538159"/>
      <w:bookmarkStart w:id="20" w:name="_Toc11641054"/>
      <w:bookmarkStart w:id="21" w:name="_Toc25725122"/>
    </w:p>
    <w:p>
      <w:pPr>
        <w:pStyle w:val="2"/>
        <w:jc w:val="center"/>
        <w:rPr>
          <w:rStyle w:val="12"/>
          <w:rFonts w:hint="eastAsia" w:ascii="Arial" w:hAnsi="Arial" w:eastAsia="黑体" w:cstheme="minorBidi"/>
          <w:b/>
          <w:color w:val="auto"/>
          <w:kern w:val="2"/>
          <w:sz w:val="32"/>
          <w:szCs w:val="22"/>
          <w:lang w:val="en-US" w:eastAsia="zh-CN" w:bidi="ar-SA"/>
        </w:rPr>
      </w:pPr>
      <w:r>
        <w:rPr>
          <w:rStyle w:val="12"/>
          <w:rFonts w:hint="eastAsia" w:ascii="Arial" w:hAnsi="Arial" w:eastAsia="黑体" w:cstheme="minorBidi"/>
          <w:b/>
          <w:color w:val="auto"/>
          <w:kern w:val="2"/>
          <w:sz w:val="32"/>
          <w:szCs w:val="22"/>
          <w:lang w:val="en-US" w:eastAsia="zh-CN" w:bidi="ar-SA"/>
        </w:rPr>
        <w:t>第三篇  采购项目内容及技术要求</w:t>
      </w:r>
      <w:bookmarkEnd w:id="19"/>
      <w:bookmarkEnd w:id="20"/>
      <w:bookmarkEnd w:id="21"/>
    </w:p>
    <w:p>
      <w:pPr>
        <w:keepNext w:val="0"/>
        <w:keepLines w:val="0"/>
        <w:pageBreakBefore w:val="0"/>
        <w:kinsoku/>
        <w:wordWrap/>
        <w:overflowPunct/>
        <w:topLinePunct w:val="0"/>
        <w:autoSpaceDE/>
        <w:autoSpaceDN/>
        <w:bidi w:val="0"/>
        <w:adjustRightInd/>
        <w:snapToGrid/>
        <w:spacing w:line="460" w:lineRule="exact"/>
        <w:ind w:firstLine="435"/>
        <w:rPr>
          <w:rFonts w:hint="eastAsia" w:ascii="宋体" w:hAnsi="宋体" w:cs="Arial"/>
          <w:sz w:val="24"/>
          <w:szCs w:val="24"/>
        </w:rPr>
      </w:pPr>
      <w:r>
        <w:rPr>
          <w:rFonts w:hint="eastAsia" w:ascii="宋体" w:hAnsi="宋体" w:cs="Arial"/>
          <w:sz w:val="24"/>
          <w:szCs w:val="24"/>
        </w:rPr>
        <w:t>重庆中国三峡博物馆（采购单位）具有文物收藏、展示、研究的职能，位于重庆市渝中区人民路236号。需要采购重庆中国三峡博物馆关键信息系统等保评测和</w:t>
      </w:r>
      <w:r>
        <w:rPr>
          <w:rFonts w:ascii="宋体" w:hAnsi="宋体" w:cs="Arial"/>
          <w:sz w:val="24"/>
          <w:szCs w:val="24"/>
        </w:rPr>
        <w:t>商用密码应用安全性评估</w:t>
      </w:r>
      <w:r>
        <w:rPr>
          <w:rFonts w:hint="eastAsia" w:ascii="宋体" w:hAnsi="宋体" w:cs="Arial"/>
          <w:sz w:val="24"/>
          <w:szCs w:val="24"/>
        </w:rPr>
        <w:t>服务。</w:t>
      </w:r>
    </w:p>
    <w:p>
      <w:pPr>
        <w:keepNext w:val="0"/>
        <w:keepLines w:val="0"/>
        <w:pageBreakBefore w:val="0"/>
        <w:kinsoku/>
        <w:wordWrap/>
        <w:overflowPunct/>
        <w:topLinePunct w:val="0"/>
        <w:autoSpaceDE/>
        <w:autoSpaceDN/>
        <w:bidi w:val="0"/>
        <w:adjustRightInd/>
        <w:snapToGrid/>
        <w:spacing w:line="460" w:lineRule="exact"/>
        <w:rPr>
          <w:rStyle w:val="12"/>
          <w:rFonts w:hint="eastAsia" w:eastAsia="宋体" w:asciiTheme="minorHAnsi" w:hAnsiTheme="minorHAnsi" w:cstheme="minorBidi"/>
          <w:b/>
          <w:color w:val="auto"/>
          <w:kern w:val="2"/>
          <w:sz w:val="32"/>
          <w:szCs w:val="22"/>
          <w:lang w:val="en-US" w:eastAsia="zh-CN" w:bidi="ar-SA"/>
        </w:rPr>
      </w:pPr>
      <w:r>
        <w:rPr>
          <w:rStyle w:val="12"/>
          <w:rFonts w:hint="eastAsia" w:eastAsia="宋体" w:asciiTheme="minorHAnsi" w:hAnsiTheme="minorHAnsi" w:cstheme="minorBidi"/>
          <w:b/>
          <w:color w:val="auto"/>
          <w:kern w:val="2"/>
          <w:sz w:val="32"/>
          <w:szCs w:val="22"/>
          <w:lang w:val="en-US" w:eastAsia="zh-CN" w:bidi="ar-SA"/>
        </w:rPr>
        <w:t>一、投标单位要求</w:t>
      </w:r>
    </w:p>
    <w:p>
      <w:pPr>
        <w:keepNext w:val="0"/>
        <w:keepLines w:val="0"/>
        <w:pageBreakBefore w:val="0"/>
        <w:numPr>
          <w:ilvl w:val="0"/>
          <w:numId w:val="0"/>
        </w:numPr>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w:t>
      </w:r>
      <w:r>
        <w:rPr>
          <w:rFonts w:hint="eastAsia" w:ascii="宋体" w:hAnsi="宋体" w:cs="Arial"/>
          <w:color w:val="auto"/>
          <w:sz w:val="24"/>
          <w:szCs w:val="24"/>
        </w:rPr>
        <w:t>投标单位能够独立完成本项目，中标后不得转包、分包。</w:t>
      </w:r>
    </w:p>
    <w:p>
      <w:pPr>
        <w:keepNext w:val="0"/>
        <w:keepLines w:val="0"/>
        <w:pageBreakBefore w:val="0"/>
        <w:numPr>
          <w:ilvl w:val="0"/>
          <w:numId w:val="0"/>
        </w:numPr>
        <w:kinsoku/>
        <w:wordWrap/>
        <w:overflowPunct/>
        <w:topLinePunct w:val="0"/>
        <w:autoSpaceDE/>
        <w:autoSpaceDN/>
        <w:bidi w:val="0"/>
        <w:adjustRightInd/>
        <w:snapToGrid/>
        <w:spacing w:line="460" w:lineRule="exact"/>
        <w:rPr>
          <w:rStyle w:val="12"/>
          <w:rFonts w:hint="eastAsia" w:eastAsia="宋体" w:asciiTheme="minorHAnsi" w:hAnsiTheme="minorHAnsi" w:cstheme="minorBidi"/>
          <w:b/>
          <w:color w:val="auto"/>
          <w:kern w:val="2"/>
          <w:sz w:val="32"/>
          <w:szCs w:val="22"/>
          <w:lang w:val="en-US" w:eastAsia="zh-CN" w:bidi="ar-SA"/>
        </w:rPr>
      </w:pPr>
      <w:r>
        <w:rPr>
          <w:rStyle w:val="12"/>
          <w:rFonts w:hint="eastAsia" w:eastAsia="宋体" w:cstheme="minorBidi"/>
          <w:b/>
          <w:color w:val="auto"/>
          <w:kern w:val="2"/>
          <w:sz w:val="32"/>
          <w:szCs w:val="22"/>
          <w:lang w:val="en-US" w:eastAsia="zh-CN" w:bidi="ar-SA"/>
        </w:rPr>
        <w:t>二、采购项目内容</w:t>
      </w:r>
      <w:r>
        <w:rPr>
          <w:rStyle w:val="12"/>
          <w:rFonts w:hint="eastAsia" w:eastAsia="宋体" w:asciiTheme="minorHAnsi" w:hAnsiTheme="minorHAnsi" w:cstheme="minorBidi"/>
          <w:b/>
          <w:color w:val="auto"/>
          <w:kern w:val="2"/>
          <w:sz w:val="32"/>
          <w:szCs w:val="22"/>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服务内容：</w:t>
      </w:r>
    </w:p>
    <w:tbl>
      <w:tblPr>
        <w:tblStyle w:val="13"/>
        <w:tblW w:w="8755" w:type="dxa"/>
        <w:tblInd w:w="0" w:type="dxa"/>
        <w:tblLayout w:type="fixed"/>
        <w:tblCellMar>
          <w:top w:w="0" w:type="dxa"/>
          <w:left w:w="108" w:type="dxa"/>
          <w:bottom w:w="0" w:type="dxa"/>
          <w:right w:w="108" w:type="dxa"/>
        </w:tblCellMar>
      </w:tblPr>
      <w:tblGrid>
        <w:gridCol w:w="638"/>
        <w:gridCol w:w="1058"/>
        <w:gridCol w:w="2240"/>
        <w:gridCol w:w="2268"/>
        <w:gridCol w:w="1134"/>
        <w:gridCol w:w="1417"/>
      </w:tblGrid>
      <w:tr>
        <w:tblPrEx>
          <w:tblLayout w:type="fixed"/>
          <w:tblCellMar>
            <w:top w:w="0" w:type="dxa"/>
            <w:left w:w="108" w:type="dxa"/>
            <w:bottom w:w="0" w:type="dxa"/>
            <w:right w:w="108" w:type="dxa"/>
          </w:tblCellMar>
        </w:tblPrEx>
        <w:trPr>
          <w:trHeight w:val="280" w:hRule="atLeast"/>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序号</w:t>
            </w:r>
          </w:p>
        </w:tc>
        <w:tc>
          <w:tcPr>
            <w:tcW w:w="1058" w:type="dxa"/>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服务项</w:t>
            </w:r>
          </w:p>
        </w:tc>
        <w:tc>
          <w:tcPr>
            <w:tcW w:w="2240" w:type="dxa"/>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服务内容</w:t>
            </w:r>
          </w:p>
        </w:tc>
        <w:tc>
          <w:tcPr>
            <w:tcW w:w="2268" w:type="dxa"/>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服务对象</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服务频次</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交付物</w:t>
            </w:r>
          </w:p>
        </w:tc>
      </w:tr>
      <w:tr>
        <w:tblPrEx>
          <w:tblLayout w:type="fixed"/>
          <w:tblCellMar>
            <w:top w:w="0" w:type="dxa"/>
            <w:left w:w="108" w:type="dxa"/>
            <w:bottom w:w="0" w:type="dxa"/>
            <w:right w:w="108" w:type="dxa"/>
          </w:tblCellMar>
        </w:tblPrEx>
        <w:trPr>
          <w:trHeight w:val="692" w:hRule="atLeast"/>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ascii="方正仿宋_GBK" w:hAnsi="等线" w:cs="宋体"/>
                <w:color w:val="000000"/>
                <w:kern w:val="0"/>
                <w:szCs w:val="21"/>
              </w:rPr>
              <w:t>1</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网络安全咨询</w:t>
            </w:r>
          </w:p>
        </w:tc>
        <w:tc>
          <w:tcPr>
            <w:tcW w:w="2240"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center"/>
              <w:rPr>
                <w:rFonts w:hint="eastAsia" w:ascii="方正仿宋_GBK" w:hAnsi="等线" w:cs="宋体"/>
                <w:color w:val="000000"/>
                <w:kern w:val="0"/>
                <w:szCs w:val="21"/>
              </w:rPr>
            </w:pPr>
            <w:r>
              <w:rPr>
                <w:rFonts w:hint="eastAsia" w:ascii="方正仿宋_GBK" w:hAnsi="等线" w:cs="宋体"/>
                <w:color w:val="000000"/>
                <w:kern w:val="0"/>
                <w:szCs w:val="21"/>
              </w:rPr>
              <w:t>依据信息安全等级保护政策要求，对信息系统安全管理体系建设提供咨询，定级备案相关问题提供相应的咨询服务。</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指定网络安全咨询需求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1年内按需提供</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p>
        </w:tc>
      </w:tr>
      <w:tr>
        <w:tblPrEx>
          <w:tblLayout w:type="fixed"/>
          <w:tblCellMar>
            <w:top w:w="0" w:type="dxa"/>
            <w:left w:w="108" w:type="dxa"/>
            <w:bottom w:w="0" w:type="dxa"/>
            <w:right w:w="108" w:type="dxa"/>
          </w:tblCellMar>
        </w:tblPrEx>
        <w:trPr>
          <w:trHeight w:val="690" w:hRule="atLeast"/>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ascii="方正仿宋_GBK" w:hAnsi="等线" w:cs="宋体"/>
                <w:color w:val="000000"/>
                <w:kern w:val="0"/>
                <w:szCs w:val="21"/>
              </w:rPr>
              <w:t>2</w:t>
            </w:r>
          </w:p>
        </w:tc>
        <w:tc>
          <w:tcPr>
            <w:tcW w:w="1058" w:type="dxa"/>
            <w:tcBorders>
              <w:top w:val="single" w:color="auto" w:sz="4" w:space="0"/>
              <w:left w:val="nil"/>
              <w:bottom w:val="single" w:color="auto" w:sz="4" w:space="0"/>
              <w:right w:val="single" w:color="auto" w:sz="4" w:space="0"/>
            </w:tcBorders>
            <w:vAlign w:val="center"/>
          </w:tcPr>
          <w:p>
            <w:pPr>
              <w:jc w:val="center"/>
            </w:pPr>
            <w:r>
              <w:rPr>
                <w:rFonts w:hint="eastAsia"/>
              </w:rPr>
              <w:t>信息系统等级保护测评</w:t>
            </w:r>
          </w:p>
        </w:tc>
        <w:tc>
          <w:tcPr>
            <w:tcW w:w="2240" w:type="dxa"/>
            <w:tcBorders>
              <w:top w:val="single" w:color="auto" w:sz="4" w:space="0"/>
              <w:left w:val="nil"/>
              <w:bottom w:val="single" w:color="auto" w:sz="4" w:space="0"/>
              <w:right w:val="single" w:color="auto" w:sz="4" w:space="0"/>
            </w:tcBorders>
            <w:vAlign w:val="center"/>
          </w:tcPr>
          <w:p>
            <w:pPr>
              <w:ind w:firstLine="420" w:firstLineChars="200"/>
              <w:jc w:val="center"/>
            </w:pPr>
            <w:r>
              <w:rPr>
                <w:rFonts w:hint="eastAsia"/>
              </w:rPr>
              <w:t>按照国家等级保护相关法规和技术标准，对构信息系统不可分割的软件应用系统与应用软件、物理机房、网络环境与设备、主机（服务器）系统、数据库与数据备份恢复及其相关管理制度和记录，完成对系统信息安全等级保护测评。</w:t>
            </w:r>
          </w:p>
        </w:tc>
        <w:tc>
          <w:tcPr>
            <w:tcW w:w="2268" w:type="dxa"/>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1个三级系统、2个二</w:t>
            </w:r>
          </w:p>
          <w:p>
            <w:pPr>
              <w:widowControl/>
              <w:jc w:val="center"/>
            </w:pPr>
            <w:r>
              <w:rPr>
                <w:rFonts w:hint="eastAsia" w:ascii="方正仿宋_GBK" w:hAnsi="等线" w:cs="宋体"/>
                <w:color w:val="000000"/>
                <w:kern w:val="0"/>
                <w:szCs w:val="21"/>
              </w:rPr>
              <w:t>级系统</w:t>
            </w:r>
          </w:p>
        </w:tc>
        <w:tc>
          <w:tcPr>
            <w:tcW w:w="1134" w:type="dxa"/>
            <w:tcBorders>
              <w:top w:val="single" w:color="auto" w:sz="4" w:space="0"/>
              <w:left w:val="nil"/>
              <w:bottom w:val="single" w:color="auto" w:sz="4" w:space="0"/>
              <w:right w:val="single" w:color="auto" w:sz="4" w:space="0"/>
            </w:tcBorders>
            <w:vAlign w:val="center"/>
          </w:tcPr>
          <w:p>
            <w:pPr>
              <w:jc w:val="center"/>
            </w:pPr>
            <w:r>
              <w:rPr>
                <w:rFonts w:hint="eastAsia"/>
              </w:rPr>
              <w:t>单次</w:t>
            </w:r>
          </w:p>
        </w:tc>
        <w:tc>
          <w:tcPr>
            <w:tcW w:w="1417" w:type="dxa"/>
            <w:tcBorders>
              <w:top w:val="single" w:color="auto" w:sz="4" w:space="0"/>
              <w:left w:val="nil"/>
              <w:bottom w:val="single" w:color="auto" w:sz="4" w:space="0"/>
              <w:right w:val="single" w:color="auto" w:sz="4" w:space="0"/>
            </w:tcBorders>
            <w:vAlign w:val="center"/>
          </w:tcPr>
          <w:p>
            <w:pPr>
              <w:jc w:val="center"/>
            </w:pPr>
            <w:r>
              <w:rPr>
                <w:rFonts w:hint="eastAsia"/>
              </w:rPr>
              <w:t>《等保测评报告》</w:t>
            </w:r>
          </w:p>
        </w:tc>
      </w:tr>
      <w:tr>
        <w:tblPrEx>
          <w:tblLayout w:type="fixed"/>
          <w:tblCellMar>
            <w:top w:w="0" w:type="dxa"/>
            <w:left w:w="108" w:type="dxa"/>
            <w:bottom w:w="0" w:type="dxa"/>
            <w:right w:w="108" w:type="dxa"/>
          </w:tblCellMar>
        </w:tblPrEx>
        <w:trPr>
          <w:trHeight w:val="690" w:hRule="atLeast"/>
        </w:trPr>
        <w:tc>
          <w:tcPr>
            <w:tcW w:w="638" w:type="dxa"/>
            <w:tcBorders>
              <w:top w:val="nil"/>
              <w:left w:val="single" w:color="auto" w:sz="4" w:space="0"/>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3</w:t>
            </w:r>
          </w:p>
        </w:tc>
        <w:tc>
          <w:tcPr>
            <w:tcW w:w="1058" w:type="dxa"/>
            <w:tcBorders>
              <w:top w:val="nil"/>
              <w:left w:val="nil"/>
              <w:bottom w:val="single" w:color="auto" w:sz="4" w:space="0"/>
              <w:right w:val="single" w:color="auto" w:sz="4" w:space="0"/>
            </w:tcBorders>
            <w:vAlign w:val="center"/>
          </w:tcPr>
          <w:p>
            <w:pPr>
              <w:jc w:val="center"/>
            </w:pPr>
            <w:r>
              <w:t>商用密码应用安全性评估</w:t>
            </w:r>
          </w:p>
        </w:tc>
        <w:tc>
          <w:tcPr>
            <w:tcW w:w="2240" w:type="dxa"/>
            <w:tcBorders>
              <w:top w:val="nil"/>
              <w:left w:val="nil"/>
              <w:bottom w:val="single" w:color="auto" w:sz="4" w:space="0"/>
              <w:right w:val="single" w:color="auto" w:sz="4" w:space="0"/>
            </w:tcBorders>
            <w:vAlign w:val="center"/>
          </w:tcPr>
          <w:p>
            <w:pPr>
              <w:ind w:firstLine="420" w:firstLineChars="200"/>
              <w:jc w:val="center"/>
            </w:pPr>
            <w:r>
              <w:rPr>
                <w:rFonts w:hint="eastAsia"/>
              </w:rPr>
              <w:t>依据《中华人民共和国密码法》对采用商用密码技术、产品和服务集成建设的网络和信息系统密码应用的合规性、正确性、有效性进行评估。</w:t>
            </w:r>
          </w:p>
        </w:tc>
        <w:tc>
          <w:tcPr>
            <w:tcW w:w="2268" w:type="dxa"/>
            <w:tcBorders>
              <w:top w:val="nil"/>
              <w:left w:val="nil"/>
              <w:bottom w:val="single" w:color="auto" w:sz="4" w:space="0"/>
              <w:right w:val="single" w:color="auto" w:sz="4" w:space="0"/>
            </w:tcBorders>
            <w:vAlign w:val="center"/>
          </w:tcPr>
          <w:p>
            <w:pPr>
              <w:widowControl/>
              <w:jc w:val="center"/>
              <w:rPr>
                <w:spacing w:val="10"/>
                <w:u w:val="single"/>
              </w:rPr>
            </w:pPr>
            <w:r>
              <w:rPr>
                <w:rFonts w:hint="eastAsia" w:ascii="方正仿宋_GBK" w:hAnsi="等线" w:cs="宋体"/>
                <w:color w:val="000000"/>
                <w:kern w:val="0"/>
                <w:szCs w:val="21"/>
              </w:rPr>
              <w:t>1个三级系统</w:t>
            </w:r>
          </w:p>
        </w:tc>
        <w:tc>
          <w:tcPr>
            <w:tcW w:w="1134" w:type="dxa"/>
            <w:tcBorders>
              <w:top w:val="nil"/>
              <w:left w:val="nil"/>
              <w:bottom w:val="single" w:color="auto" w:sz="4" w:space="0"/>
              <w:right w:val="single" w:color="auto" w:sz="4" w:space="0"/>
            </w:tcBorders>
            <w:vAlign w:val="center"/>
          </w:tcPr>
          <w:p>
            <w:pPr>
              <w:jc w:val="center"/>
            </w:pPr>
            <w:r>
              <w:rPr>
                <w:rFonts w:hint="eastAsia"/>
              </w:rPr>
              <w:t>单次</w:t>
            </w:r>
          </w:p>
        </w:tc>
        <w:tc>
          <w:tcPr>
            <w:tcW w:w="1417" w:type="dxa"/>
            <w:tcBorders>
              <w:top w:val="nil"/>
              <w:left w:val="nil"/>
              <w:bottom w:val="single" w:color="auto" w:sz="4" w:space="0"/>
              <w:right w:val="single" w:color="auto" w:sz="4" w:space="0"/>
            </w:tcBorders>
            <w:vAlign w:val="center"/>
          </w:tcPr>
          <w:p>
            <w:pPr>
              <w:jc w:val="center"/>
            </w:pPr>
            <w:r>
              <w:rPr>
                <w:rFonts w:hint="eastAsia"/>
              </w:rPr>
              <w:t>《商用密码应用安全性评估报告》</w:t>
            </w:r>
          </w:p>
        </w:tc>
      </w:tr>
      <w:tr>
        <w:tblPrEx>
          <w:tblLayout w:type="fixed"/>
          <w:tblCellMar>
            <w:top w:w="0" w:type="dxa"/>
            <w:left w:w="108" w:type="dxa"/>
            <w:bottom w:w="0" w:type="dxa"/>
            <w:right w:w="108" w:type="dxa"/>
          </w:tblCellMar>
        </w:tblPrEx>
        <w:trPr>
          <w:trHeight w:val="690" w:hRule="atLeast"/>
        </w:trPr>
        <w:tc>
          <w:tcPr>
            <w:tcW w:w="638" w:type="dxa"/>
            <w:tcBorders>
              <w:top w:val="nil"/>
              <w:left w:val="single" w:color="auto" w:sz="4" w:space="0"/>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4</w:t>
            </w:r>
          </w:p>
        </w:tc>
        <w:tc>
          <w:tcPr>
            <w:tcW w:w="1058" w:type="dxa"/>
            <w:tcBorders>
              <w:top w:val="nil"/>
              <w:left w:val="nil"/>
              <w:bottom w:val="single" w:color="auto" w:sz="4" w:space="0"/>
              <w:right w:val="single" w:color="auto" w:sz="4" w:space="0"/>
            </w:tcBorders>
            <w:vAlign w:val="center"/>
          </w:tcPr>
          <w:p>
            <w:pPr>
              <w:jc w:val="center"/>
            </w:pPr>
            <w:r>
              <w:rPr>
                <w:rFonts w:hint="eastAsia"/>
              </w:rPr>
              <w:t>应急响应</w:t>
            </w:r>
          </w:p>
        </w:tc>
        <w:tc>
          <w:tcPr>
            <w:tcW w:w="2240" w:type="dxa"/>
            <w:tcBorders>
              <w:top w:val="nil"/>
              <w:left w:val="nil"/>
              <w:bottom w:val="single" w:color="auto" w:sz="4" w:space="0"/>
              <w:right w:val="single" w:color="auto" w:sz="4" w:space="0"/>
            </w:tcBorders>
            <w:vAlign w:val="center"/>
          </w:tcPr>
          <w:p>
            <w:pPr>
              <w:ind w:firstLine="420" w:firstLineChars="200"/>
              <w:jc w:val="center"/>
            </w:pPr>
            <w:r>
              <w:rPr>
                <w:rFonts w:hint="eastAsia"/>
              </w:rPr>
              <w:t>处理突发网络安全公共事件，进行快速应急响应，降低安全事件带来的损失和社会影响。</w:t>
            </w:r>
          </w:p>
        </w:tc>
        <w:tc>
          <w:tcPr>
            <w:tcW w:w="2268" w:type="dxa"/>
            <w:tcBorders>
              <w:top w:val="nil"/>
              <w:left w:val="nil"/>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1个三级系统、2个二</w:t>
            </w:r>
          </w:p>
          <w:p>
            <w:pPr>
              <w:widowControl/>
              <w:jc w:val="center"/>
              <w:rPr>
                <w:spacing w:val="10"/>
                <w:u w:val="single"/>
              </w:rPr>
            </w:pPr>
            <w:r>
              <w:rPr>
                <w:rFonts w:hint="eastAsia" w:ascii="方正仿宋_GBK" w:hAnsi="等线" w:cs="宋体"/>
                <w:color w:val="000000"/>
                <w:kern w:val="0"/>
                <w:szCs w:val="21"/>
              </w:rPr>
              <w:t>级系统</w:t>
            </w:r>
          </w:p>
        </w:tc>
        <w:tc>
          <w:tcPr>
            <w:tcW w:w="1134" w:type="dxa"/>
            <w:tcBorders>
              <w:top w:val="nil"/>
              <w:left w:val="nil"/>
              <w:bottom w:val="single" w:color="auto" w:sz="4" w:space="0"/>
              <w:right w:val="single" w:color="auto" w:sz="4" w:space="0"/>
            </w:tcBorders>
            <w:vAlign w:val="center"/>
          </w:tcPr>
          <w:p>
            <w:pPr>
              <w:jc w:val="center"/>
            </w:pPr>
            <w:r>
              <w:rPr>
                <w:rFonts w:hint="eastAsia"/>
              </w:rPr>
              <w:t>2次/年</w:t>
            </w:r>
          </w:p>
        </w:tc>
        <w:tc>
          <w:tcPr>
            <w:tcW w:w="1417" w:type="dxa"/>
            <w:tcBorders>
              <w:top w:val="nil"/>
              <w:left w:val="nil"/>
              <w:bottom w:val="single" w:color="auto" w:sz="4" w:space="0"/>
              <w:right w:val="single" w:color="auto" w:sz="4" w:space="0"/>
            </w:tcBorders>
            <w:vAlign w:val="center"/>
          </w:tcPr>
          <w:p>
            <w:pPr>
              <w:jc w:val="center"/>
            </w:pPr>
            <w:r>
              <w:rPr>
                <w:rFonts w:hint="eastAsia"/>
              </w:rPr>
              <w:t>《应急报告》</w:t>
            </w:r>
          </w:p>
        </w:tc>
      </w:tr>
      <w:tr>
        <w:tblPrEx>
          <w:tblLayout w:type="fixed"/>
          <w:tblCellMar>
            <w:top w:w="0" w:type="dxa"/>
            <w:left w:w="108" w:type="dxa"/>
            <w:bottom w:w="0" w:type="dxa"/>
            <w:right w:w="108" w:type="dxa"/>
          </w:tblCellMar>
        </w:tblPrEx>
        <w:trPr>
          <w:trHeight w:val="690" w:hRule="atLeast"/>
        </w:trPr>
        <w:tc>
          <w:tcPr>
            <w:tcW w:w="638" w:type="dxa"/>
            <w:tcBorders>
              <w:top w:val="nil"/>
              <w:left w:val="single" w:color="auto" w:sz="4" w:space="0"/>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5</w:t>
            </w:r>
          </w:p>
        </w:tc>
        <w:tc>
          <w:tcPr>
            <w:tcW w:w="1058" w:type="dxa"/>
            <w:tcBorders>
              <w:top w:val="nil"/>
              <w:left w:val="nil"/>
              <w:bottom w:val="single" w:color="auto" w:sz="4" w:space="0"/>
              <w:right w:val="single" w:color="auto" w:sz="4" w:space="0"/>
            </w:tcBorders>
            <w:vAlign w:val="center"/>
          </w:tcPr>
          <w:p>
            <w:pPr>
              <w:jc w:val="center"/>
            </w:pPr>
            <w:r>
              <w:rPr>
                <w:rFonts w:hint="eastAsia"/>
              </w:rPr>
              <w:t>渗透测试</w:t>
            </w:r>
          </w:p>
        </w:tc>
        <w:tc>
          <w:tcPr>
            <w:tcW w:w="2240" w:type="dxa"/>
            <w:tcBorders>
              <w:top w:val="nil"/>
              <w:left w:val="nil"/>
              <w:bottom w:val="single" w:color="auto" w:sz="4" w:space="0"/>
              <w:right w:val="single" w:color="auto" w:sz="4" w:space="0"/>
            </w:tcBorders>
            <w:vAlign w:val="center"/>
          </w:tcPr>
          <w:p>
            <w:pPr>
              <w:ind w:firstLine="420" w:firstLineChars="200"/>
              <w:jc w:val="center"/>
            </w:pPr>
            <w:r>
              <w:rPr>
                <w:rFonts w:hint="eastAsia"/>
              </w:rPr>
              <w:t>渗透工程师利用主流的攻击技术和工具对目标网络和系统进行白盒测试，以模拟黑客攻击方式进行非破坏性质的安全检测，发现、验证潜在的网络安全风险。</w:t>
            </w:r>
          </w:p>
          <w:p>
            <w:pPr>
              <w:ind w:firstLine="420" w:firstLineChars="200"/>
              <w:jc w:val="center"/>
            </w:pPr>
            <w:r>
              <w:rPr>
                <w:rFonts w:hint="eastAsia"/>
              </w:rPr>
              <w:t>对发现的问题提出整改建议，对漏洞修复情况进行2次复测。</w:t>
            </w:r>
          </w:p>
        </w:tc>
        <w:tc>
          <w:tcPr>
            <w:tcW w:w="2268" w:type="dxa"/>
            <w:tcBorders>
              <w:top w:val="nil"/>
              <w:left w:val="nil"/>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1个三级系统、2个二</w:t>
            </w:r>
          </w:p>
          <w:p>
            <w:pPr>
              <w:widowControl/>
              <w:jc w:val="center"/>
              <w:rPr>
                <w:spacing w:val="10"/>
                <w:u w:val="single"/>
              </w:rPr>
            </w:pPr>
            <w:r>
              <w:rPr>
                <w:rFonts w:hint="eastAsia" w:ascii="方正仿宋_GBK" w:hAnsi="等线" w:cs="宋体"/>
                <w:color w:val="000000"/>
                <w:kern w:val="0"/>
                <w:szCs w:val="21"/>
              </w:rPr>
              <w:t>级系统</w:t>
            </w:r>
          </w:p>
        </w:tc>
        <w:tc>
          <w:tcPr>
            <w:tcW w:w="1134" w:type="dxa"/>
            <w:tcBorders>
              <w:top w:val="nil"/>
              <w:left w:val="nil"/>
              <w:bottom w:val="single" w:color="auto" w:sz="4" w:space="0"/>
              <w:right w:val="single" w:color="auto" w:sz="4" w:space="0"/>
            </w:tcBorders>
            <w:vAlign w:val="center"/>
          </w:tcPr>
          <w:p>
            <w:pPr>
              <w:jc w:val="center"/>
            </w:pPr>
            <w:r>
              <w:rPr>
                <w:rFonts w:hint="eastAsia"/>
              </w:rPr>
              <w:t>2次/年</w:t>
            </w:r>
          </w:p>
        </w:tc>
        <w:tc>
          <w:tcPr>
            <w:tcW w:w="1417" w:type="dxa"/>
            <w:tcBorders>
              <w:top w:val="nil"/>
              <w:left w:val="nil"/>
              <w:bottom w:val="single" w:color="auto" w:sz="4" w:space="0"/>
              <w:right w:val="single" w:color="auto" w:sz="4" w:space="0"/>
            </w:tcBorders>
            <w:vAlign w:val="center"/>
          </w:tcPr>
          <w:p>
            <w:pPr>
              <w:jc w:val="center"/>
            </w:pPr>
            <w:r>
              <w:rPr>
                <w:rFonts w:hint="eastAsia"/>
              </w:rPr>
              <w:t>《渗透测试报告》</w:t>
            </w:r>
          </w:p>
        </w:tc>
      </w:tr>
      <w:tr>
        <w:tblPrEx>
          <w:tblLayout w:type="fixed"/>
          <w:tblCellMar>
            <w:top w:w="0" w:type="dxa"/>
            <w:left w:w="108" w:type="dxa"/>
            <w:bottom w:w="0" w:type="dxa"/>
            <w:right w:w="108" w:type="dxa"/>
          </w:tblCellMar>
        </w:tblPrEx>
        <w:trPr>
          <w:trHeight w:val="690" w:hRule="atLeast"/>
        </w:trPr>
        <w:tc>
          <w:tcPr>
            <w:tcW w:w="638" w:type="dxa"/>
            <w:tcBorders>
              <w:top w:val="nil"/>
              <w:left w:val="single" w:color="auto" w:sz="4" w:space="0"/>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6</w:t>
            </w:r>
          </w:p>
        </w:tc>
        <w:tc>
          <w:tcPr>
            <w:tcW w:w="1058" w:type="dxa"/>
            <w:tcBorders>
              <w:top w:val="nil"/>
              <w:left w:val="nil"/>
              <w:bottom w:val="single" w:color="auto" w:sz="4" w:space="0"/>
              <w:right w:val="single" w:color="auto" w:sz="4" w:space="0"/>
            </w:tcBorders>
            <w:vAlign w:val="center"/>
          </w:tcPr>
          <w:p>
            <w:pPr>
              <w:jc w:val="center"/>
            </w:pPr>
            <w:r>
              <w:rPr>
                <w:rFonts w:hint="eastAsia"/>
              </w:rPr>
              <w:t>主机漏洞扫描</w:t>
            </w:r>
          </w:p>
        </w:tc>
        <w:tc>
          <w:tcPr>
            <w:tcW w:w="2240" w:type="dxa"/>
            <w:tcBorders>
              <w:top w:val="nil"/>
              <w:left w:val="nil"/>
              <w:bottom w:val="single" w:color="auto" w:sz="4" w:space="0"/>
              <w:right w:val="single" w:color="auto" w:sz="4" w:space="0"/>
            </w:tcBorders>
            <w:vAlign w:val="center"/>
          </w:tcPr>
          <w:p>
            <w:pPr>
              <w:ind w:firstLine="420" w:firstLineChars="200"/>
              <w:jc w:val="center"/>
            </w:pPr>
            <w:r>
              <w:rPr>
                <w:rFonts w:hint="eastAsia"/>
              </w:rPr>
              <w:t>使用主机漏洞扫描工具对指定主机</w:t>
            </w:r>
            <w:r>
              <w:t>IP进行漏洞扫描，尽可能发现对应主机存在的常规安全隐患。</w:t>
            </w:r>
          </w:p>
        </w:tc>
        <w:tc>
          <w:tcPr>
            <w:tcW w:w="2268" w:type="dxa"/>
            <w:tcBorders>
              <w:top w:val="nil"/>
              <w:left w:val="nil"/>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1个三级系统、2个二</w:t>
            </w:r>
          </w:p>
          <w:p>
            <w:pPr>
              <w:widowControl/>
              <w:jc w:val="center"/>
              <w:rPr>
                <w:spacing w:val="10"/>
                <w:u w:val="single"/>
              </w:rPr>
            </w:pPr>
            <w:r>
              <w:rPr>
                <w:rFonts w:hint="eastAsia" w:ascii="方正仿宋_GBK" w:hAnsi="等线" w:cs="宋体"/>
                <w:color w:val="000000"/>
                <w:kern w:val="0"/>
                <w:szCs w:val="21"/>
              </w:rPr>
              <w:t>级系统</w:t>
            </w:r>
          </w:p>
        </w:tc>
        <w:tc>
          <w:tcPr>
            <w:tcW w:w="1134" w:type="dxa"/>
            <w:tcBorders>
              <w:top w:val="nil"/>
              <w:left w:val="nil"/>
              <w:bottom w:val="single" w:color="auto" w:sz="4" w:space="0"/>
              <w:right w:val="single" w:color="auto" w:sz="4" w:space="0"/>
            </w:tcBorders>
            <w:vAlign w:val="center"/>
          </w:tcPr>
          <w:p>
            <w:pPr>
              <w:jc w:val="center"/>
            </w:pPr>
            <w:r>
              <w:rPr>
                <w:rFonts w:hint="eastAsia"/>
              </w:rPr>
              <w:t>2次/年</w:t>
            </w:r>
          </w:p>
        </w:tc>
        <w:tc>
          <w:tcPr>
            <w:tcW w:w="1417" w:type="dxa"/>
            <w:tcBorders>
              <w:top w:val="nil"/>
              <w:left w:val="nil"/>
              <w:bottom w:val="single" w:color="auto" w:sz="4" w:space="0"/>
              <w:right w:val="single" w:color="auto" w:sz="4" w:space="0"/>
            </w:tcBorders>
            <w:vAlign w:val="center"/>
          </w:tcPr>
          <w:p>
            <w:pPr>
              <w:jc w:val="center"/>
            </w:pPr>
            <w:r>
              <w:rPr>
                <w:rFonts w:hint="eastAsia"/>
              </w:rPr>
              <w:t>《漏扫报告》</w:t>
            </w:r>
          </w:p>
        </w:tc>
      </w:tr>
      <w:tr>
        <w:tblPrEx>
          <w:tblLayout w:type="fixed"/>
          <w:tblCellMar>
            <w:top w:w="0" w:type="dxa"/>
            <w:left w:w="108" w:type="dxa"/>
            <w:bottom w:w="0" w:type="dxa"/>
            <w:right w:w="108" w:type="dxa"/>
          </w:tblCellMar>
        </w:tblPrEx>
        <w:trPr>
          <w:trHeight w:val="692" w:hRule="atLeast"/>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ascii="方正仿宋_GBK" w:hAnsi="等线" w:cs="宋体"/>
                <w:color w:val="000000"/>
                <w:kern w:val="0"/>
                <w:szCs w:val="21"/>
              </w:rPr>
              <w:t>7</w:t>
            </w:r>
          </w:p>
        </w:tc>
        <w:tc>
          <w:tcPr>
            <w:tcW w:w="105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信息系统安全等级保护整改咨询</w:t>
            </w:r>
          </w:p>
        </w:tc>
        <w:tc>
          <w:tcPr>
            <w:tcW w:w="224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pPr>
            <w:r>
              <w:rPr>
                <w:rFonts w:hint="eastAsia"/>
              </w:rPr>
              <w:t>按照国家等级保护相关法规和技术标准，对信息系统安全等级保护测评产生的安全问题提供整改咨询服务。帮助甲方对信息系统进行安全建设和改进，确保被测系统达到安全保护相应能力的要求。</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1个三级系统、2个二</w:t>
            </w:r>
          </w:p>
          <w:p>
            <w:pPr>
              <w:widowControl/>
              <w:jc w:val="center"/>
            </w:pPr>
            <w:r>
              <w:rPr>
                <w:rFonts w:hint="eastAsia" w:ascii="方正仿宋_GBK" w:hAnsi="等线" w:cs="宋体"/>
                <w:color w:val="000000"/>
                <w:kern w:val="0"/>
                <w:szCs w:val="21"/>
              </w:rPr>
              <w:t>级系统</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持续</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r>
      <w:tr>
        <w:tblPrEx>
          <w:tblLayout w:type="fixed"/>
          <w:tblCellMar>
            <w:top w:w="0" w:type="dxa"/>
            <w:left w:w="108" w:type="dxa"/>
            <w:bottom w:w="0" w:type="dxa"/>
            <w:right w:w="108" w:type="dxa"/>
          </w:tblCellMar>
        </w:tblPrEx>
        <w:trPr>
          <w:trHeight w:val="692" w:hRule="atLeast"/>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等线" w:cs="宋体"/>
                <w:color w:val="000000"/>
                <w:kern w:val="0"/>
                <w:szCs w:val="21"/>
              </w:rPr>
            </w:pPr>
            <w:r>
              <w:rPr>
                <w:rFonts w:hint="eastAsia" w:ascii="方正仿宋_GBK" w:hAnsi="等线" w:cs="宋体"/>
                <w:color w:val="000000"/>
                <w:kern w:val="0"/>
                <w:szCs w:val="21"/>
              </w:rPr>
              <w:t>8</w:t>
            </w:r>
          </w:p>
        </w:tc>
        <w:tc>
          <w:tcPr>
            <w:tcW w:w="105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安全培训</w:t>
            </w:r>
          </w:p>
        </w:tc>
        <w:tc>
          <w:tcPr>
            <w:tcW w:w="224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pPr>
            <w:r>
              <w:rPr>
                <w:rFonts w:hint="eastAsia"/>
              </w:rPr>
              <w:t>安排网络安全领域专家，按照三峡博物馆相关安全培训要求，讲解意识、规范、管理、制度等方面的安全观。培训系统、网络、主机、应用、数据等方面得安全技能。</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spacing w:val="10"/>
                <w:u w:val="single"/>
              </w:rPr>
            </w:pPr>
            <w:r>
              <w:rPr>
                <w:rFonts w:hint="eastAsia" w:ascii="方正仿宋_GBK" w:hAnsi="等线" w:cs="宋体"/>
                <w:color w:val="000000"/>
                <w:kern w:val="0"/>
                <w:szCs w:val="21"/>
              </w:rPr>
              <w:t>重庆三峡博物馆</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1次/年</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r>
    </w:tbl>
    <w:p>
      <w:pPr>
        <w:pStyle w:val="17"/>
        <w:spacing w:line="240" w:lineRule="auto"/>
        <w:ind w:left="0" w:leftChars="0" w:firstLine="480" w:firstLineChars="200"/>
        <w:rPr>
          <w:rFonts w:hint="eastAsia"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实施要求：</w:t>
      </w:r>
    </w:p>
    <w:p>
      <w:pPr>
        <w:keepNext w:val="0"/>
        <w:keepLines w:val="0"/>
        <w:pageBreakBefore w:val="0"/>
        <w:kinsoku/>
        <w:wordWrap/>
        <w:overflowPunct/>
        <w:topLinePunct w:val="0"/>
        <w:autoSpaceDE/>
        <w:autoSpaceDN/>
        <w:bidi w:val="0"/>
        <w:adjustRightInd/>
        <w:snapToGrid/>
        <w:spacing w:line="460" w:lineRule="exact"/>
        <w:ind w:firstLine="435"/>
        <w:rPr>
          <w:rFonts w:hint="eastAsia" w:ascii="宋体" w:hAnsi="宋体" w:cs="Arial"/>
          <w:sz w:val="24"/>
          <w:szCs w:val="24"/>
        </w:rPr>
      </w:pPr>
      <w:r>
        <w:rPr>
          <w:rFonts w:hint="eastAsia" w:ascii="宋体" w:hAnsi="宋体" w:cs="Arial"/>
          <w:sz w:val="24"/>
          <w:szCs w:val="24"/>
        </w:rPr>
        <w:t>（1）投标单位应根据项目实际情况制定项目实施计划，严格按照项目实施计划推动项目实施，确保项目进度。</w:t>
      </w:r>
    </w:p>
    <w:p>
      <w:pPr>
        <w:keepNext w:val="0"/>
        <w:keepLines w:val="0"/>
        <w:pageBreakBefore w:val="0"/>
        <w:kinsoku/>
        <w:wordWrap/>
        <w:overflowPunct/>
        <w:topLinePunct w:val="0"/>
        <w:autoSpaceDE/>
        <w:autoSpaceDN/>
        <w:bidi w:val="0"/>
        <w:adjustRightInd/>
        <w:snapToGrid/>
        <w:spacing w:line="460" w:lineRule="exact"/>
        <w:ind w:firstLine="435"/>
        <w:rPr>
          <w:rFonts w:hint="eastAsia" w:ascii="宋体" w:hAnsi="宋体" w:cs="Arial"/>
          <w:sz w:val="24"/>
          <w:szCs w:val="24"/>
        </w:rPr>
      </w:pPr>
      <w:r>
        <w:rPr>
          <w:rFonts w:hint="eastAsia" w:ascii="宋体" w:hAnsi="宋体" w:cs="Arial"/>
          <w:sz w:val="24"/>
          <w:szCs w:val="24"/>
        </w:rPr>
        <w:t>（2）为保障测评工作的顺利推进，投标单位应指定一名专职服务人员，通过现场或远程支撑的方式为测评过程中的技术问题（包含但不限于需整改的问题）提供技术支撑服务。</w:t>
      </w:r>
    </w:p>
    <w:p>
      <w:pPr>
        <w:keepNext w:val="0"/>
        <w:keepLines w:val="0"/>
        <w:pageBreakBefore w:val="0"/>
        <w:kinsoku/>
        <w:wordWrap/>
        <w:overflowPunct/>
        <w:topLinePunct w:val="0"/>
        <w:autoSpaceDE/>
        <w:autoSpaceDN/>
        <w:bidi w:val="0"/>
        <w:adjustRightInd/>
        <w:snapToGrid/>
        <w:spacing w:line="460" w:lineRule="exact"/>
        <w:ind w:firstLine="435"/>
        <w:rPr>
          <w:rFonts w:hint="eastAsia"/>
        </w:rPr>
      </w:pPr>
      <w:r>
        <w:rPr>
          <w:rFonts w:hint="eastAsia" w:ascii="宋体" w:hAnsi="宋体" w:cs="Arial"/>
          <w:sz w:val="24"/>
          <w:szCs w:val="24"/>
        </w:rPr>
        <w:t>（</w:t>
      </w:r>
      <w:r>
        <w:rPr>
          <w:rFonts w:hint="eastAsia" w:ascii="宋体" w:hAnsi="宋体" w:cs="Arial"/>
          <w:sz w:val="24"/>
          <w:szCs w:val="24"/>
          <w:lang w:val="en-US" w:eastAsia="zh-CN"/>
        </w:rPr>
        <w:t>3</w:t>
      </w:r>
      <w:r>
        <w:rPr>
          <w:rFonts w:hint="eastAsia" w:ascii="宋体" w:hAnsi="宋体" w:cs="Arial"/>
          <w:sz w:val="24"/>
          <w:szCs w:val="24"/>
        </w:rPr>
        <w:t>）投标单位应组织应急技术支撑队伍，在服务期限内加强与业主单位的联防、联动，积极配合处理网络安全事件，提升</w:t>
      </w:r>
      <w:r>
        <w:rPr>
          <w:rFonts w:hint="eastAsia" w:ascii="宋体" w:hAnsi="宋体" w:cs="Arial"/>
          <w:sz w:val="24"/>
          <w:szCs w:val="24"/>
          <w:lang w:val="en-US" w:eastAsia="zh-CN"/>
        </w:rPr>
        <w:t>业主</w:t>
      </w:r>
      <w:r>
        <w:rPr>
          <w:rFonts w:hint="eastAsia" w:ascii="宋体" w:hAnsi="宋体" w:cs="Arial"/>
          <w:sz w:val="24"/>
          <w:szCs w:val="24"/>
        </w:rPr>
        <w:t>单位应对网络安全事件的应急处理能力。</w:t>
      </w:r>
    </w:p>
    <w:p>
      <w:pPr>
        <w:pStyle w:val="17"/>
        <w:spacing w:line="240" w:lineRule="auto"/>
        <w:ind w:firstLine="480"/>
        <w:rPr>
          <w:rFonts w:hint="eastAsia"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保密要求：</w:t>
      </w:r>
    </w:p>
    <w:p>
      <w:pPr>
        <w:keepNext w:val="0"/>
        <w:keepLines w:val="0"/>
        <w:pageBreakBefore w:val="0"/>
        <w:kinsoku/>
        <w:wordWrap/>
        <w:overflowPunct/>
        <w:topLinePunct w:val="0"/>
        <w:autoSpaceDE/>
        <w:autoSpaceDN/>
        <w:bidi w:val="0"/>
        <w:adjustRightInd/>
        <w:snapToGrid/>
        <w:spacing w:line="460" w:lineRule="exact"/>
        <w:ind w:firstLine="435"/>
        <w:rPr>
          <w:rFonts w:hint="eastAsia" w:ascii="宋体" w:hAnsi="宋体" w:cs="Arial"/>
          <w:sz w:val="24"/>
          <w:szCs w:val="24"/>
        </w:rPr>
      </w:pPr>
      <w:r>
        <w:rPr>
          <w:rFonts w:hint="eastAsia" w:ascii="宋体" w:hAnsi="宋体" w:cs="Arial"/>
          <w:sz w:val="24"/>
          <w:szCs w:val="24"/>
        </w:rPr>
        <w:t>（1）测评公司必须承诺对本项目技术文件以及由用户提供的所有内部资料、技术文档和信息予以保密。测评公司须按用户的要求签订保密协议，未经用户书面许可，不得以任何形式向第三方透露本项目标书以及本项目的任何内容。</w:t>
      </w:r>
    </w:p>
    <w:p>
      <w:pPr>
        <w:keepNext w:val="0"/>
        <w:keepLines w:val="0"/>
        <w:pageBreakBefore w:val="0"/>
        <w:kinsoku/>
        <w:wordWrap/>
        <w:overflowPunct/>
        <w:topLinePunct w:val="0"/>
        <w:autoSpaceDE/>
        <w:autoSpaceDN/>
        <w:bidi w:val="0"/>
        <w:adjustRightInd/>
        <w:snapToGrid/>
        <w:spacing w:line="460" w:lineRule="exact"/>
        <w:ind w:firstLine="435"/>
        <w:rPr>
          <w:rFonts w:hint="eastAsia"/>
        </w:rPr>
      </w:pPr>
      <w:r>
        <w:rPr>
          <w:rFonts w:hint="eastAsia" w:ascii="宋体" w:hAnsi="宋体" w:cs="Arial"/>
          <w:sz w:val="24"/>
          <w:szCs w:val="24"/>
        </w:rPr>
        <w:t>（2）测评公司应加强本项目资料的保密管控，必须针对本项目建立项目纸质、声音、影像、图像、电子等各种形态资料及其载体的保密管控措施，记录资料由生成到销毁整个生命周期内的使用日志，并根据实际工作情况及时对制度进行调整。测评公司应加强本项目在用户工作场所使用设备，特别是笔记本电脑、移动存储介质等便携设备使用的保密管理。接入系统网络内使用的设备，必须遵守该系统关于终端安全管理、移动存储介质管理等要求。</w:t>
      </w:r>
    </w:p>
    <w:p>
      <w:pPr>
        <w:pStyle w:val="17"/>
        <w:pageBreakBefore w:val="0"/>
        <w:numPr>
          <w:ilvl w:val="0"/>
          <w:numId w:val="0"/>
        </w:numPr>
        <w:kinsoku/>
        <w:wordWrap/>
        <w:overflowPunct/>
        <w:topLinePunct w:val="0"/>
        <w:autoSpaceDE/>
        <w:autoSpaceDN/>
        <w:bidi w:val="0"/>
        <w:adjustRightInd/>
        <w:spacing w:line="240" w:lineRule="auto"/>
        <w:textAlignment w:val="auto"/>
        <w:rPr>
          <w:rFonts w:hint="eastAsia" w:ascii="宋体" w:hAnsi="宋体" w:cs="宋体"/>
          <w:color w:val="auto"/>
          <w:sz w:val="24"/>
          <w:szCs w:val="24"/>
          <w:highlight w:val="yellow"/>
          <w:lang w:val="en-US" w:eastAsia="zh-CN"/>
        </w:rPr>
      </w:pPr>
    </w:p>
    <w:p>
      <w:pPr>
        <w:rPr>
          <w:rFonts w:hint="eastAsia"/>
          <w:color w:val="FF0000"/>
          <w:lang w:val="en-US" w:eastAsia="zh-CN"/>
        </w:rPr>
      </w:pPr>
    </w:p>
    <w:p>
      <w:pPr>
        <w:pStyle w:val="2"/>
        <w:jc w:val="center"/>
        <w:rPr>
          <w:rFonts w:hint="eastAsia" w:ascii="宋体" w:hAnsi="宋体" w:eastAsia="宋体" w:cs="Arial"/>
          <w:color w:val="FF0000"/>
          <w:sz w:val="36"/>
        </w:rPr>
      </w:pPr>
      <w:bookmarkStart w:id="22" w:name="_Toc11641055"/>
      <w:bookmarkStart w:id="23" w:name="_Toc372538162"/>
      <w:bookmarkStart w:id="24" w:name="_Toc25725124"/>
    </w:p>
    <w:p>
      <w:pPr>
        <w:rPr>
          <w:rFonts w:hint="eastAsia"/>
        </w:rPr>
      </w:pPr>
    </w:p>
    <w:p>
      <w:pPr>
        <w:pStyle w:val="2"/>
        <w:jc w:val="center"/>
        <w:rPr>
          <w:rStyle w:val="12"/>
          <w:rFonts w:hint="eastAsia" w:ascii="Arial" w:hAnsi="Arial" w:eastAsia="黑体" w:cstheme="minorBidi"/>
          <w:b/>
          <w:color w:val="auto"/>
          <w:kern w:val="2"/>
          <w:sz w:val="32"/>
          <w:szCs w:val="22"/>
          <w:lang w:val="en-US" w:eastAsia="zh-CN" w:bidi="ar-SA"/>
        </w:rPr>
      </w:pPr>
      <w:r>
        <w:rPr>
          <w:rStyle w:val="12"/>
          <w:rFonts w:hint="eastAsia" w:ascii="Arial" w:hAnsi="Arial" w:eastAsia="黑体" w:cstheme="minorBidi"/>
          <w:b/>
          <w:color w:val="auto"/>
          <w:kern w:val="2"/>
          <w:sz w:val="32"/>
          <w:szCs w:val="22"/>
          <w:lang w:val="en-US" w:eastAsia="zh-CN" w:bidi="ar-SA"/>
        </w:rPr>
        <w:t>第四篇   商务要求</w:t>
      </w:r>
      <w:bookmarkEnd w:id="22"/>
      <w:bookmarkEnd w:id="23"/>
      <w:bookmarkEnd w:id="24"/>
    </w:p>
    <w:p>
      <w:pPr>
        <w:pStyle w:val="4"/>
        <w:pageBreakBefore w:val="0"/>
        <w:kinsoku/>
        <w:wordWrap/>
        <w:overflowPunct/>
        <w:topLinePunct w:val="0"/>
        <w:autoSpaceDE/>
        <w:autoSpaceDN/>
        <w:bidi w:val="0"/>
        <w:adjustRightInd/>
        <w:spacing w:line="460" w:lineRule="exact"/>
        <w:textAlignment w:val="auto"/>
        <w:rPr>
          <w:rStyle w:val="12"/>
          <w:rFonts w:hint="eastAsia"/>
          <w:color w:val="auto"/>
          <w:highlight w:val="none"/>
        </w:rPr>
      </w:pPr>
      <w:bookmarkStart w:id="25" w:name="_Toc480882274"/>
      <w:bookmarkStart w:id="26" w:name="_Toc498442539"/>
      <w:bookmarkStart w:id="27" w:name="_Toc344475120"/>
      <w:bookmarkStart w:id="28" w:name="_Toc25725133"/>
      <w:r>
        <w:rPr>
          <w:rStyle w:val="12"/>
          <w:rFonts w:hint="eastAsia"/>
          <w:color w:val="auto"/>
          <w:highlight w:val="none"/>
          <w:lang w:val="en-US" w:eastAsia="zh-CN"/>
        </w:rPr>
        <w:t>一、</w:t>
      </w:r>
      <w:r>
        <w:rPr>
          <w:rStyle w:val="12"/>
          <w:rFonts w:hint="eastAsia"/>
          <w:color w:val="auto"/>
          <w:highlight w:val="none"/>
        </w:rPr>
        <w:t>交货时间、地点及验收方式</w:t>
      </w:r>
      <w:bookmarkEnd w:id="25"/>
      <w:bookmarkEnd w:id="26"/>
      <w:bookmarkEnd w:id="27"/>
    </w:p>
    <w:p>
      <w:pPr>
        <w:pageBreakBefore w:val="0"/>
        <w:widowControl/>
        <w:kinsoku/>
        <w:wordWrap/>
        <w:overflowPunct/>
        <w:topLinePunct w:val="0"/>
        <w:autoSpaceDE/>
        <w:autoSpaceDN/>
        <w:bidi w:val="0"/>
        <w:adjustRightInd/>
        <w:spacing w:line="240" w:lineRule="auto"/>
        <w:jc w:val="left"/>
        <w:textAlignment w:val="auto"/>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29" w:name="_Toc344475121"/>
      <w:bookmarkStart w:id="30" w:name="_Toc498442540"/>
      <w:bookmarkStart w:id="31" w:name="_Toc480882275"/>
      <w:r>
        <w:rPr>
          <w:rFonts w:hint="eastAsia" w:ascii="宋体" w:hAnsi="宋体" w:cs="Arial"/>
          <w:color w:val="auto"/>
          <w:sz w:val="24"/>
          <w:szCs w:val="24"/>
          <w:highlight w:val="none"/>
        </w:rPr>
        <w:t xml:space="preserve"> </w:t>
      </w:r>
      <w:r>
        <w:rPr>
          <w:rFonts w:hint="eastAsia" w:ascii="宋体" w:hAnsi="宋体" w:cs="宋体"/>
          <w:color w:val="auto"/>
          <w:sz w:val="24"/>
          <w:szCs w:val="24"/>
          <w:highlight w:val="none"/>
        </w:rPr>
        <w:t>（一）交货时间</w:t>
      </w:r>
    </w:p>
    <w:p>
      <w:pPr>
        <w:pageBreakBefore w:val="0"/>
        <w:widowControl/>
        <w:kinsoku/>
        <w:wordWrap/>
        <w:overflowPunct/>
        <w:topLinePunct w:val="0"/>
        <w:autoSpaceDE/>
        <w:autoSpaceDN/>
        <w:bidi w:val="0"/>
        <w:adjustRightInd/>
        <w:spacing w:line="24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Arial"/>
          <w:color w:val="auto"/>
          <w:sz w:val="24"/>
          <w:szCs w:val="24"/>
          <w:highlight w:val="none"/>
        </w:rPr>
        <w:t>从提交填写完善的“信息系统基本情况调查表”开始（若因甲方的原因，测评时间可另定），本次测评时间期限为4个月，（若需对被测信息系统进行安全加固和整改，则测评时间期限相应顺延）。</w:t>
      </w:r>
      <w:r>
        <w:rPr>
          <w:rFonts w:hint="eastAsia" w:ascii="宋体" w:hAnsi="宋体" w:cs="宋体"/>
          <w:color w:val="auto"/>
          <w:sz w:val="24"/>
          <w:szCs w:val="24"/>
          <w:highlight w:val="none"/>
        </w:rPr>
        <w:t xml:space="preserve">   </w:t>
      </w:r>
    </w:p>
    <w:p>
      <w:pPr>
        <w:pageBreakBefore w:val="0"/>
        <w:widowControl/>
        <w:kinsoku/>
        <w:wordWrap/>
        <w:overflowPunct/>
        <w:topLinePunct w:val="0"/>
        <w:autoSpaceDE/>
        <w:autoSpaceDN/>
        <w:bidi w:val="0"/>
        <w:adjustRightInd/>
        <w:spacing w:line="24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（二）地点</w:t>
      </w:r>
    </w:p>
    <w:p>
      <w:pPr>
        <w:pageBreakBefore w:val="0"/>
        <w:widowControl/>
        <w:kinsoku/>
        <w:wordWrap/>
        <w:overflowPunct/>
        <w:topLinePunct w:val="0"/>
        <w:autoSpaceDE/>
        <w:autoSpaceDN/>
        <w:bidi w:val="0"/>
        <w:adjustRightInd/>
        <w:spacing w:line="24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重庆中国三峡博物馆。</w:t>
      </w:r>
    </w:p>
    <w:p>
      <w:pPr>
        <w:pageBreakBefore w:val="0"/>
        <w:widowControl/>
        <w:numPr>
          <w:ilvl w:val="0"/>
          <w:numId w:val="2"/>
        </w:numPr>
        <w:kinsoku/>
        <w:wordWrap/>
        <w:overflowPunct/>
        <w:topLinePunct w:val="0"/>
        <w:autoSpaceDE/>
        <w:autoSpaceDN/>
        <w:bidi w:val="0"/>
        <w:adjustRightInd/>
        <w:spacing w:line="240" w:lineRule="auto"/>
        <w:ind w:left="543" w:leftChars="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交付</w:t>
      </w:r>
      <w:r>
        <w:rPr>
          <w:rFonts w:hint="eastAsia" w:ascii="宋体" w:hAnsi="宋体" w:cs="宋体"/>
          <w:color w:val="auto"/>
          <w:sz w:val="24"/>
          <w:szCs w:val="24"/>
          <w:highlight w:val="none"/>
          <w:lang w:val="en-US" w:eastAsia="zh-CN"/>
        </w:rPr>
        <w:t>内容</w:t>
      </w:r>
    </w:p>
    <w:p>
      <w:pPr>
        <w:pStyle w:val="17"/>
        <w:keepNext w:val="0"/>
        <w:keepLines w:val="0"/>
        <w:pageBreakBefore w:val="0"/>
        <w:widowControl w:val="0"/>
        <w:numPr>
          <w:numId w:val="0"/>
        </w:numPr>
        <w:kinsoku/>
        <w:wordWrap/>
        <w:overflowPunct/>
        <w:topLinePunct w:val="0"/>
        <w:autoSpaceDE/>
        <w:autoSpaceDN/>
        <w:bidi w:val="0"/>
        <w:adjustRightInd/>
        <w:snapToGrid/>
        <w:spacing w:line="240" w:lineRule="auto"/>
        <w:ind w:left="543" w:leftChars="0" w:right="0" w:rightChars="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《等保测评报告》</w:t>
      </w:r>
      <w:r>
        <w:rPr>
          <w:rFonts w:hint="eastAsia" w:ascii="宋体" w:hAnsi="宋体" w:cs="宋体"/>
          <w:color w:val="auto"/>
          <w:sz w:val="24"/>
          <w:szCs w:val="24"/>
          <w:highlight w:val="none"/>
          <w:lang w:eastAsia="zh-CN"/>
        </w:rPr>
        <w:t>。</w:t>
      </w:r>
    </w:p>
    <w:p>
      <w:pPr>
        <w:pStyle w:val="17"/>
        <w:keepNext w:val="0"/>
        <w:keepLines w:val="0"/>
        <w:pageBreakBefore w:val="0"/>
        <w:widowControl w:val="0"/>
        <w:numPr>
          <w:numId w:val="0"/>
        </w:numPr>
        <w:kinsoku/>
        <w:wordWrap/>
        <w:overflowPunct/>
        <w:topLinePunct w:val="0"/>
        <w:autoSpaceDE/>
        <w:autoSpaceDN/>
        <w:bidi w:val="0"/>
        <w:adjustRightInd/>
        <w:snapToGrid/>
        <w:spacing w:line="240" w:lineRule="auto"/>
        <w:ind w:left="543" w:leftChars="0" w:right="0" w:rightChars="0"/>
        <w:jc w:val="left"/>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《商用密码应用安全性评估报告》</w:t>
      </w:r>
      <w:r>
        <w:rPr>
          <w:rFonts w:hint="eastAsia" w:ascii="宋体" w:hAnsi="宋体" w:cs="宋体"/>
          <w:color w:val="auto"/>
          <w:sz w:val="24"/>
          <w:szCs w:val="24"/>
          <w:highlight w:val="none"/>
          <w:lang w:eastAsia="zh-CN"/>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43" w:leftChars="0" w:right="0" w:rightChars="0"/>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3.《渗透测试报告》。</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543" w:leftChars="0" w:right="0" w:rightChars="0"/>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4.《漏扫报告》。</w:t>
      </w:r>
    </w:p>
    <w:p>
      <w:pPr>
        <w:pageBreakBefore w:val="0"/>
        <w:widowControl/>
        <w:kinsoku/>
        <w:wordWrap/>
        <w:overflowPunct/>
        <w:topLinePunct w:val="0"/>
        <w:autoSpaceDE/>
        <w:autoSpaceDN/>
        <w:bidi w:val="0"/>
        <w:adjustRightInd/>
        <w:spacing w:line="240" w:lineRule="auto"/>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（四）验收方式</w:t>
      </w:r>
    </w:p>
    <w:p>
      <w:pPr>
        <w:pageBreakBefore w:val="0"/>
        <w:widowControl/>
        <w:kinsoku/>
        <w:wordWrap/>
        <w:overflowPunct/>
        <w:topLinePunct w:val="0"/>
        <w:autoSpaceDE/>
        <w:autoSpaceDN/>
        <w:bidi w:val="0"/>
        <w:adjustRightInd/>
        <w:spacing w:line="240" w:lineRule="auto"/>
        <w:ind w:firstLine="420"/>
        <w:jc w:val="lef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Arial"/>
          <w:color w:val="auto"/>
          <w:sz w:val="24"/>
          <w:szCs w:val="24"/>
          <w:highlight w:val="none"/>
        </w:rPr>
        <w:t xml:space="preserve"> </w:t>
      </w:r>
      <w:r>
        <w:rPr>
          <w:rFonts w:hint="eastAsia" w:ascii="宋体" w:hAnsi="宋体" w:cs="宋体"/>
          <w:color w:val="auto"/>
          <w:sz w:val="24"/>
          <w:szCs w:val="24"/>
          <w:highlight w:val="none"/>
        </w:rPr>
        <w:t>交付《等保测评报告》和《商用密码应用安全性评估报告》即为验收。</w:t>
      </w:r>
    </w:p>
    <w:p>
      <w:pPr>
        <w:pageBreakBefore w:val="0"/>
        <w:widowControl/>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Style w:val="12"/>
          <w:rFonts w:hint="eastAsia" w:eastAsia="宋体" w:asciiTheme="minorHAnsi" w:hAnsiTheme="minorHAnsi" w:cstheme="minorBidi"/>
          <w:b/>
          <w:color w:val="auto"/>
          <w:kern w:val="2"/>
          <w:sz w:val="32"/>
          <w:szCs w:val="22"/>
          <w:highlight w:val="none"/>
          <w:lang w:val="en-US" w:eastAsia="zh-CN" w:bidi="ar-SA"/>
        </w:rPr>
        <w:t>二、质量保证</w:t>
      </w:r>
      <w:bookmarkEnd w:id="29"/>
      <w:bookmarkEnd w:id="30"/>
      <w:bookmarkEnd w:id="31"/>
      <w:r>
        <w:rPr>
          <w:rStyle w:val="12"/>
          <w:rFonts w:hint="eastAsia" w:eastAsia="宋体" w:cstheme="minorBidi"/>
          <w:b/>
          <w:color w:val="auto"/>
          <w:kern w:val="2"/>
          <w:sz w:val="32"/>
          <w:szCs w:val="22"/>
          <w:highlight w:val="none"/>
          <w:lang w:val="en-US" w:eastAsia="zh-CN" w:bidi="ar-SA"/>
        </w:rPr>
        <w:t>及售后服务</w:t>
      </w:r>
      <w:bookmarkEnd w:id="28"/>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val="en-US" w:eastAsia="zh-CN"/>
        </w:rPr>
        <w:t>）电话咨询</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成交供应商应当为用户提供技术援助电话，解答用户在使用中遇到的问题，及时为用户提出解决问题的建议。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val="en-US" w:eastAsia="zh-CN"/>
        </w:rPr>
        <w:t>）现场响应</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用户遇到使用及技术问题，电话咨询不能解决的，成交供应商应在1小时内采取相应响应措施；无法在1小时内解决的，应在1小时内派出专业人员进行技术支持。</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val="en-US" w:eastAsia="zh-CN"/>
        </w:rPr>
        <w:t>）服务期外</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1.成交供应商应同样提供免费电话咨询服务，并应承诺提供上门技术服务。</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2.采购人需要继续由原成交供应商提供售后服务的，成交供应商应以优惠价格提供售后服务。</w:t>
      </w:r>
    </w:p>
    <w:p>
      <w:pPr>
        <w:pageBreakBefore w:val="0"/>
        <w:widowControl/>
        <w:kinsoku/>
        <w:wordWrap/>
        <w:overflowPunct/>
        <w:topLinePunct w:val="0"/>
        <w:autoSpaceDE/>
        <w:autoSpaceDN/>
        <w:bidi w:val="0"/>
        <w:adjustRightInd/>
        <w:snapToGrid/>
        <w:spacing w:line="460" w:lineRule="exact"/>
        <w:jc w:val="left"/>
        <w:textAlignment w:val="auto"/>
        <w:rPr>
          <w:rStyle w:val="12"/>
          <w:rFonts w:hint="eastAsia" w:eastAsia="宋体" w:asciiTheme="minorHAnsi" w:hAnsiTheme="minorHAnsi" w:cstheme="minorBidi"/>
          <w:b/>
          <w:color w:val="auto"/>
          <w:kern w:val="2"/>
          <w:sz w:val="32"/>
          <w:szCs w:val="22"/>
          <w:highlight w:val="none"/>
          <w:lang w:val="en-US" w:eastAsia="zh-CN" w:bidi="ar-SA"/>
        </w:rPr>
      </w:pPr>
      <w:bookmarkStart w:id="32" w:name="_Toc480882276"/>
      <w:bookmarkStart w:id="33" w:name="_Toc498442541"/>
      <w:bookmarkStart w:id="34" w:name="_Toc344475122"/>
      <w:r>
        <w:rPr>
          <w:rStyle w:val="12"/>
          <w:rFonts w:hint="eastAsia" w:eastAsia="宋体" w:asciiTheme="minorHAnsi" w:hAnsiTheme="minorHAnsi" w:cstheme="minorBidi"/>
          <w:b/>
          <w:color w:val="auto"/>
          <w:kern w:val="2"/>
          <w:sz w:val="32"/>
          <w:szCs w:val="22"/>
          <w:highlight w:val="none"/>
          <w:lang w:val="en-US" w:eastAsia="zh-CN" w:bidi="ar-SA"/>
        </w:rPr>
        <w:t>四、付款方式</w:t>
      </w:r>
      <w:bookmarkEnd w:id="32"/>
      <w:bookmarkEnd w:id="33"/>
      <w:bookmarkEnd w:id="34"/>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宋体" w:hAnsi="宋体" w:eastAsia="宋体" w:cs="Arial"/>
          <w:color w:val="auto"/>
          <w:sz w:val="24"/>
          <w:szCs w:val="24"/>
          <w:highlight w:val="none"/>
        </w:rPr>
        <w:t>提交等保测评报告，</w:t>
      </w:r>
      <w:r>
        <w:rPr>
          <w:rFonts w:hint="eastAsia" w:ascii="宋体" w:hAnsi="宋体" w:cs="宋体"/>
          <w:color w:val="auto"/>
          <w:sz w:val="24"/>
          <w:szCs w:val="24"/>
          <w:highlight w:val="none"/>
        </w:rPr>
        <w:t>商用密码应用安全性评估报告</w:t>
      </w:r>
      <w:r>
        <w:rPr>
          <w:rFonts w:hint="eastAsia" w:ascii="宋体" w:hAnsi="宋体" w:cs="宋体"/>
          <w:color w:val="auto"/>
          <w:sz w:val="24"/>
          <w:szCs w:val="24"/>
          <w:highlight w:val="none"/>
          <w:lang w:eastAsia="zh-CN"/>
        </w:rPr>
        <w:t>。</w:t>
      </w:r>
      <w:r>
        <w:rPr>
          <w:rFonts w:hint="eastAsia" w:ascii="宋体" w:hAnsi="宋体" w:eastAsia="宋体" w:cs="Arial"/>
          <w:color w:val="auto"/>
          <w:sz w:val="24"/>
          <w:szCs w:val="24"/>
          <w:highlight w:val="none"/>
        </w:rPr>
        <w:t>验收合格后付款。</w:t>
      </w:r>
    </w:p>
    <w:p>
      <w:pPr>
        <w:pageBreakBefore w:val="0"/>
        <w:widowControl/>
        <w:kinsoku/>
        <w:wordWrap/>
        <w:overflowPunct/>
        <w:topLinePunct w:val="0"/>
        <w:autoSpaceDE/>
        <w:autoSpaceDN/>
        <w:bidi w:val="0"/>
        <w:adjustRightInd/>
        <w:snapToGrid/>
        <w:spacing w:line="460" w:lineRule="exact"/>
        <w:jc w:val="left"/>
        <w:textAlignment w:val="auto"/>
        <w:rPr>
          <w:rStyle w:val="12"/>
          <w:rFonts w:hint="eastAsia" w:eastAsia="宋体" w:asciiTheme="minorHAnsi" w:hAnsiTheme="minorHAnsi" w:cstheme="minorBidi"/>
          <w:b/>
          <w:color w:val="auto"/>
          <w:kern w:val="2"/>
          <w:sz w:val="32"/>
          <w:szCs w:val="22"/>
          <w:highlight w:val="none"/>
          <w:lang w:val="en-US" w:eastAsia="zh-CN" w:bidi="ar-SA"/>
        </w:rPr>
      </w:pPr>
      <w:r>
        <w:rPr>
          <w:rStyle w:val="12"/>
          <w:rFonts w:hint="eastAsia" w:eastAsia="宋体" w:asciiTheme="minorHAnsi" w:hAnsiTheme="minorHAnsi" w:cstheme="minorBidi"/>
          <w:b/>
          <w:color w:val="auto"/>
          <w:kern w:val="2"/>
          <w:sz w:val="32"/>
          <w:szCs w:val="22"/>
          <w:highlight w:val="none"/>
          <w:lang w:val="en-US" w:eastAsia="zh-CN" w:bidi="ar-SA"/>
        </w:rPr>
        <w:t>五、知识产权</w:t>
      </w:r>
    </w:p>
    <w:p>
      <w:pPr>
        <w:pageBreakBefore w:val="0"/>
        <w:widowControl/>
        <w:kinsoku/>
        <w:wordWrap/>
        <w:overflowPunct/>
        <w:topLinePunct w:val="0"/>
        <w:autoSpaceDE/>
        <w:autoSpaceDN/>
        <w:bidi w:val="0"/>
        <w:adjustRightInd/>
        <w:snapToGrid/>
        <w:spacing w:line="460" w:lineRule="exact"/>
        <w:ind w:firstLine="562"/>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采购人在中华人民共和国境内使用投标人提供的货物及服务时免受第三方提出的侵犯其专利权或其它知识产权的起诉。如果第三方提出侵权指控，成交供应商应承担由此而引起的一切法律责任和费用</w:t>
      </w:r>
      <w:r>
        <w:rPr>
          <w:rFonts w:hint="eastAsia" w:asciiTheme="minorEastAsia" w:hAnsiTheme="minorEastAsia" w:cstheme="minorEastAsia"/>
          <w:bCs/>
          <w:color w:val="auto"/>
          <w:sz w:val="24"/>
          <w:szCs w:val="24"/>
          <w:highlight w:val="none"/>
          <w:lang w:eastAsia="zh-CN"/>
        </w:rPr>
        <w:t>。</w:t>
      </w:r>
    </w:p>
    <w:p>
      <w:pPr>
        <w:pageBreakBefore w:val="0"/>
        <w:widowControl/>
        <w:kinsoku/>
        <w:wordWrap/>
        <w:overflowPunct/>
        <w:topLinePunct w:val="0"/>
        <w:autoSpaceDE/>
        <w:autoSpaceDN/>
        <w:bidi w:val="0"/>
        <w:adjustRightInd/>
        <w:snapToGrid/>
        <w:spacing w:line="460" w:lineRule="exact"/>
        <w:jc w:val="left"/>
        <w:textAlignment w:val="auto"/>
        <w:rPr>
          <w:rStyle w:val="12"/>
          <w:rFonts w:hint="eastAsia" w:eastAsia="宋体" w:asciiTheme="minorHAnsi" w:hAnsiTheme="minorHAnsi" w:cstheme="minorBidi"/>
          <w:b/>
          <w:color w:val="auto"/>
          <w:kern w:val="2"/>
          <w:sz w:val="32"/>
          <w:szCs w:val="22"/>
          <w:highlight w:val="none"/>
          <w:lang w:val="en-US" w:eastAsia="zh-CN" w:bidi="ar-SA"/>
        </w:rPr>
      </w:pPr>
      <w:bookmarkStart w:id="35" w:name="_Toc498442542"/>
      <w:r>
        <w:rPr>
          <w:rStyle w:val="12"/>
          <w:rFonts w:hint="eastAsia" w:eastAsia="宋体" w:asciiTheme="minorHAnsi" w:hAnsiTheme="minorHAnsi" w:cstheme="minorBidi"/>
          <w:b/>
          <w:color w:val="auto"/>
          <w:kern w:val="2"/>
          <w:sz w:val="32"/>
          <w:szCs w:val="22"/>
          <w:highlight w:val="none"/>
          <w:lang w:val="en-US" w:eastAsia="zh-CN" w:bidi="ar-SA"/>
        </w:rPr>
        <w:t>六、付款单位</w:t>
      </w:r>
      <w:bookmarkEnd w:id="35"/>
    </w:p>
    <w:p>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重庆中国三峡博物馆</w:t>
      </w:r>
    </w:p>
    <w:p>
      <w:pPr>
        <w:pStyle w:val="2"/>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Arial"/>
          <w:sz w:val="28"/>
          <w:szCs w:val="28"/>
        </w:rPr>
      </w:pPr>
      <w:r>
        <w:rPr>
          <w:rFonts w:hint="eastAsia" w:ascii="宋体" w:hAnsi="宋体" w:eastAsia="宋体" w:cs="Arial"/>
          <w:sz w:val="24"/>
          <w:szCs w:val="24"/>
        </w:rPr>
        <w:br w:type="page"/>
      </w:r>
      <w:bookmarkStart w:id="36" w:name="_Toc372538173"/>
      <w:bookmarkStart w:id="37" w:name="_Toc25725135"/>
    </w:p>
    <w:p>
      <w:pPr>
        <w:pStyle w:val="2"/>
        <w:jc w:val="center"/>
        <w:rPr>
          <w:rStyle w:val="12"/>
          <w:rFonts w:hint="eastAsia" w:ascii="Arial" w:hAnsi="Arial" w:eastAsia="黑体" w:cstheme="minorBidi"/>
          <w:b/>
          <w:kern w:val="2"/>
          <w:sz w:val="32"/>
          <w:szCs w:val="22"/>
          <w:lang w:val="en-US" w:eastAsia="zh-CN" w:bidi="ar-SA"/>
        </w:rPr>
      </w:pPr>
      <w:r>
        <w:rPr>
          <w:rStyle w:val="12"/>
          <w:rFonts w:hint="eastAsia" w:ascii="Arial" w:hAnsi="Arial" w:eastAsia="黑体" w:cstheme="minorBidi"/>
          <w:b/>
          <w:kern w:val="2"/>
          <w:sz w:val="32"/>
          <w:szCs w:val="22"/>
          <w:lang w:val="en-US" w:eastAsia="zh-CN" w:bidi="ar-SA"/>
        </w:rPr>
        <w:t>第五篇  合同关键条款</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960" w:firstLineChars="400"/>
        <w:jc w:val="left"/>
        <w:textAlignment w:val="auto"/>
        <w:outlineLvl w:val="9"/>
        <w:rPr>
          <w:rFonts w:hint="eastAsia" w:ascii="宋体" w:hAnsi="宋体" w:cs="Arial"/>
          <w:sz w:val="24"/>
          <w:szCs w:val="24"/>
          <w:lang w:val="en-US" w:eastAsia="zh-CN"/>
        </w:rPr>
      </w:pPr>
      <w:r>
        <w:rPr>
          <w:rFonts w:hint="eastAsia" w:ascii="宋体" w:hAnsi="宋体" w:cs="Arial"/>
          <w:sz w:val="24"/>
          <w:szCs w:val="24"/>
          <w:lang w:val="en-US" w:eastAsia="zh-CN"/>
        </w:rPr>
        <w:t>其他未尽事宜由供需双方在采购合同中详细约定。</w:t>
      </w:r>
    </w:p>
    <w:p>
      <w:pPr>
        <w:pStyle w:val="2"/>
        <w:jc w:val="center"/>
        <w:rPr>
          <w:rFonts w:hint="eastAsia" w:ascii="宋体" w:hAnsi="宋体" w:eastAsia="宋体" w:cs="Arial"/>
          <w:sz w:val="28"/>
          <w:szCs w:val="28"/>
        </w:rPr>
      </w:pPr>
    </w:p>
    <w:p>
      <w:pPr>
        <w:pStyle w:val="2"/>
        <w:jc w:val="both"/>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numPr>
          <w:ilvl w:val="0"/>
          <w:numId w:val="0"/>
        </w:numPr>
        <w:spacing w:line="360" w:lineRule="auto"/>
        <w:jc w:val="center"/>
        <w:rPr>
          <w:rFonts w:hint="eastAsia" w:ascii="宋体" w:hAnsi="宋体" w:eastAsia="宋体" w:cs="Arial"/>
          <w:sz w:val="36"/>
        </w:rPr>
      </w:pPr>
    </w:p>
    <w:p>
      <w:pPr>
        <w:numPr>
          <w:ilvl w:val="0"/>
          <w:numId w:val="0"/>
        </w:numPr>
        <w:spacing w:line="360" w:lineRule="auto"/>
        <w:jc w:val="center"/>
        <w:rPr>
          <w:rFonts w:hint="eastAsia" w:ascii="宋体" w:hAnsi="宋体" w:eastAsia="宋体" w:cs="Arial"/>
          <w:sz w:val="36"/>
        </w:rPr>
      </w:pPr>
    </w:p>
    <w:p>
      <w:pPr>
        <w:numPr>
          <w:ilvl w:val="0"/>
          <w:numId w:val="0"/>
        </w:numPr>
        <w:spacing w:line="360" w:lineRule="auto"/>
        <w:jc w:val="center"/>
        <w:rPr>
          <w:rFonts w:hint="eastAsia" w:ascii="宋体" w:hAnsi="宋体" w:eastAsia="宋体" w:cs="Arial"/>
          <w:sz w:val="36"/>
        </w:rPr>
      </w:pPr>
    </w:p>
    <w:p>
      <w:pPr>
        <w:pStyle w:val="2"/>
        <w:jc w:val="center"/>
        <w:rPr>
          <w:rStyle w:val="12"/>
          <w:rFonts w:hint="eastAsia" w:ascii="Arial" w:hAnsi="Arial" w:eastAsia="黑体" w:cstheme="minorBidi"/>
          <w:b/>
          <w:kern w:val="2"/>
          <w:sz w:val="32"/>
          <w:szCs w:val="22"/>
          <w:lang w:val="en-US" w:eastAsia="zh-CN" w:bidi="ar-SA"/>
        </w:rPr>
      </w:pPr>
      <w:r>
        <w:rPr>
          <w:rStyle w:val="12"/>
          <w:rFonts w:hint="eastAsia" w:ascii="Arial" w:hAnsi="Arial" w:eastAsia="黑体" w:cstheme="minorBidi"/>
          <w:b/>
          <w:kern w:val="2"/>
          <w:sz w:val="32"/>
          <w:szCs w:val="22"/>
          <w:lang w:val="en-US" w:eastAsia="zh-CN" w:bidi="ar-SA"/>
        </w:rPr>
        <w:t xml:space="preserve">第六篇   </w:t>
      </w:r>
      <w:bookmarkEnd w:id="36"/>
      <w:bookmarkEnd w:id="37"/>
      <w:r>
        <w:rPr>
          <w:rStyle w:val="12"/>
          <w:rFonts w:hint="eastAsia" w:ascii="Arial" w:hAnsi="Arial" w:eastAsia="黑体" w:cstheme="minorBidi"/>
          <w:b/>
          <w:kern w:val="2"/>
          <w:sz w:val="32"/>
          <w:szCs w:val="22"/>
          <w:lang w:val="en-US" w:eastAsia="zh-CN" w:bidi="ar-SA"/>
        </w:rPr>
        <w:t>供应商编制响应文件要求</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ascii="宋体" w:hAnsi="宋体" w:cs="Arial"/>
          <w:color w:val="auto"/>
          <w:sz w:val="24"/>
          <w:szCs w:val="24"/>
        </w:rPr>
        <w:t>一、</w:t>
      </w:r>
      <w:r>
        <w:rPr>
          <w:rFonts w:hint="eastAsia" w:ascii="宋体" w:hAnsi="宋体" w:cs="Arial"/>
          <w:b/>
          <w:bCs/>
          <w:color w:val="auto"/>
          <w:sz w:val="24"/>
          <w:szCs w:val="24"/>
        </w:rPr>
        <w:t>资格文件</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204" w:leftChars="0" w:right="0" w:rightChars="0" w:firstLine="0" w:firstLineChars="0"/>
        <w:jc w:val="both"/>
        <w:textAlignment w:val="auto"/>
        <w:outlineLvl w:val="9"/>
        <w:rPr>
          <w:rFonts w:hint="eastAsia" w:ascii="宋体" w:hAnsi="宋体" w:cs="Arial"/>
          <w:color w:val="auto"/>
          <w:sz w:val="24"/>
          <w:szCs w:val="24"/>
        </w:rPr>
      </w:pPr>
      <w:r>
        <w:rPr>
          <w:rFonts w:hint="eastAsia" w:ascii="宋体" w:hAnsi="宋体" w:cs="Arial"/>
          <w:color w:val="auto"/>
          <w:sz w:val="24"/>
          <w:szCs w:val="24"/>
        </w:rPr>
        <w:t>营业执照或者法人证书复印件（加盖投标单位鲜章）</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204" w:leftChars="0" w:right="0" w:rightChars="0" w:firstLine="0" w:firstLineChars="0"/>
        <w:jc w:val="both"/>
        <w:textAlignment w:val="auto"/>
        <w:outlineLvl w:val="9"/>
        <w:rPr>
          <w:rFonts w:hint="eastAsia" w:ascii="宋体" w:hAnsi="宋体" w:cs="Arial"/>
          <w:color w:val="auto"/>
          <w:sz w:val="24"/>
          <w:szCs w:val="24"/>
        </w:rPr>
      </w:pPr>
      <w:r>
        <w:rPr>
          <w:rFonts w:hint="eastAsia" w:ascii="宋体" w:hAnsi="宋体" w:cs="Arial"/>
          <w:color w:val="auto"/>
          <w:sz w:val="24"/>
          <w:szCs w:val="24"/>
          <w:lang w:val="en-US" w:eastAsia="zh-CN"/>
        </w:rPr>
        <w:t>特定资格条件</w:t>
      </w:r>
      <w:r>
        <w:rPr>
          <w:rFonts w:hint="eastAsia" w:ascii="宋体" w:hAnsi="宋体" w:cs="Arial"/>
          <w:color w:val="auto"/>
          <w:sz w:val="24"/>
          <w:szCs w:val="24"/>
        </w:rPr>
        <w:t>复印件（加盖投标单位鲜章）</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204" w:leftChars="0" w:right="0" w:rightChars="0" w:firstLine="0" w:firstLineChars="0"/>
        <w:jc w:val="both"/>
        <w:textAlignment w:val="auto"/>
        <w:outlineLvl w:val="9"/>
        <w:rPr>
          <w:rFonts w:ascii="宋体" w:hAnsi="宋体" w:cs="Arial"/>
          <w:color w:val="auto"/>
          <w:sz w:val="24"/>
          <w:szCs w:val="24"/>
        </w:rPr>
      </w:pPr>
      <w:r>
        <w:rPr>
          <w:rFonts w:hint="eastAsia" w:ascii="宋体" w:hAnsi="宋体" w:cs="Arial"/>
          <w:color w:val="auto"/>
          <w:sz w:val="24"/>
          <w:szCs w:val="24"/>
        </w:rPr>
        <w:t>法定代表人身份证明书（格式）或者法定代表人授权委托书（格式）</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204" w:leftChars="0" w:right="0" w:rightChars="0" w:firstLine="0" w:firstLineChars="0"/>
        <w:jc w:val="both"/>
        <w:textAlignment w:val="auto"/>
        <w:outlineLvl w:val="9"/>
        <w:rPr>
          <w:rFonts w:ascii="宋体" w:hAnsi="宋体" w:cs="Arial"/>
          <w:color w:val="auto"/>
          <w:sz w:val="24"/>
          <w:szCs w:val="24"/>
        </w:rPr>
      </w:pPr>
      <w:r>
        <w:rPr>
          <w:rFonts w:hint="eastAsia" w:ascii="宋体" w:hAnsi="宋体" w:cs="Arial"/>
          <w:color w:val="auto"/>
          <w:sz w:val="24"/>
          <w:szCs w:val="24"/>
        </w:rPr>
        <w:t>诚信声明书（加盖投标单位鲜章）</w:t>
      </w:r>
    </w:p>
    <w:p>
      <w:pPr>
        <w:keepNext w:val="0"/>
        <w:keepLines w:val="0"/>
        <w:pageBreakBefore w:val="0"/>
        <w:widowControl w:val="0"/>
        <w:numPr>
          <w:ilvl w:val="0"/>
          <w:numId w:val="4"/>
        </w:numPr>
        <w:kinsoku/>
        <w:wordWrap/>
        <w:overflowPunct/>
        <w:topLinePunct w:val="0"/>
        <w:autoSpaceDE/>
        <w:autoSpaceDN/>
        <w:bidi w:val="0"/>
        <w:adjustRightInd/>
        <w:spacing w:line="460" w:lineRule="exact"/>
        <w:textAlignment w:val="auto"/>
        <w:outlineLvl w:val="9"/>
        <w:rPr>
          <w:rFonts w:ascii="Times New Roman" w:hAnsi="Times New Roman" w:eastAsia="宋体"/>
          <w:b/>
          <w:bCs/>
          <w:color w:val="auto"/>
          <w:sz w:val="24"/>
          <w:szCs w:val="24"/>
        </w:rPr>
      </w:pPr>
      <w:r>
        <w:rPr>
          <w:rFonts w:hint="eastAsia" w:ascii="宋体" w:hAnsi="宋体" w:cs="Arial"/>
          <w:b/>
          <w:bCs/>
          <w:color w:val="auto"/>
          <w:sz w:val="24"/>
          <w:szCs w:val="24"/>
        </w:rPr>
        <w:t>技术文件</w:t>
      </w:r>
    </w:p>
    <w:p>
      <w:pPr>
        <w:keepNext w:val="0"/>
        <w:keepLines w:val="0"/>
        <w:pageBreakBefore w:val="0"/>
        <w:widowControl w:val="0"/>
        <w:kinsoku/>
        <w:wordWrap/>
        <w:overflowPunct/>
        <w:topLinePunct w:val="0"/>
        <w:autoSpaceDE/>
        <w:autoSpaceDN/>
        <w:bidi w:val="0"/>
        <w:adjustRightInd/>
        <w:snapToGrid w:val="0"/>
        <w:spacing w:line="460" w:lineRule="exact"/>
        <w:ind w:left="0" w:leftChars="0"/>
        <w:textAlignment w:val="auto"/>
        <w:outlineLvl w:val="9"/>
        <w:rPr>
          <w:rFonts w:hint="eastAsia"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（一）技术部分 （格式、内容自拟，每页加盖投标单位鲜章）</w:t>
      </w:r>
    </w:p>
    <w:p>
      <w:pPr>
        <w:keepNext w:val="0"/>
        <w:keepLines w:val="0"/>
        <w:pageBreakBefore w:val="0"/>
        <w:widowControl w:val="0"/>
        <w:kinsoku/>
        <w:wordWrap/>
        <w:overflowPunct/>
        <w:topLinePunct w:val="0"/>
        <w:autoSpaceDE/>
        <w:autoSpaceDN/>
        <w:bidi w:val="0"/>
        <w:adjustRightInd/>
        <w:snapToGrid w:val="0"/>
        <w:spacing w:line="460" w:lineRule="exact"/>
        <w:textAlignment w:val="auto"/>
        <w:outlineLvl w:val="9"/>
        <w:rPr>
          <w:rFonts w:hint="eastAsia" w:asciiTheme="minorEastAsia" w:hAnsiTheme="minorEastAsia" w:cstheme="minorEastAsia"/>
          <w:bCs/>
          <w:color w:val="auto"/>
          <w:sz w:val="24"/>
          <w:szCs w:val="24"/>
        </w:rPr>
      </w:pPr>
      <w:r>
        <w:rPr>
          <w:rFonts w:hint="eastAsia" w:asciiTheme="minorEastAsia" w:hAnsiTheme="minorEastAsia" w:cstheme="minorEastAsia"/>
          <w:bCs/>
          <w:color w:val="auto"/>
          <w:sz w:val="24"/>
          <w:szCs w:val="24"/>
        </w:rPr>
        <w:t>（二）商务部分 （格式、内容自拟，每页加盖投标单位鲜章）</w:t>
      </w:r>
    </w:p>
    <w:p>
      <w:pPr>
        <w:keepNext w:val="0"/>
        <w:keepLines w:val="0"/>
        <w:pageBreakBefore w:val="0"/>
        <w:widowControl w:val="0"/>
        <w:numPr>
          <w:ilvl w:val="0"/>
          <w:numId w:val="4"/>
        </w:numPr>
        <w:kinsoku/>
        <w:wordWrap/>
        <w:overflowPunct/>
        <w:topLinePunct w:val="0"/>
        <w:autoSpaceDE/>
        <w:autoSpaceDN/>
        <w:bidi w:val="0"/>
        <w:adjustRightInd/>
        <w:spacing w:line="460" w:lineRule="exact"/>
        <w:textAlignment w:val="auto"/>
        <w:outlineLvl w:val="9"/>
        <w:rPr>
          <w:rFonts w:ascii="宋体" w:hAnsi="宋体" w:cs="Arial"/>
          <w:b/>
          <w:bCs/>
          <w:color w:val="auto"/>
          <w:sz w:val="24"/>
          <w:szCs w:val="24"/>
        </w:rPr>
      </w:pPr>
      <w:r>
        <w:rPr>
          <w:rFonts w:hint="eastAsia" w:ascii="宋体" w:hAnsi="宋体" w:cs="Arial"/>
          <w:b/>
          <w:bCs/>
          <w:color w:val="auto"/>
          <w:sz w:val="24"/>
          <w:szCs w:val="24"/>
        </w:rPr>
        <w:t>经济文件</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ascii="宋体" w:hAnsi="宋体" w:cs="Arial"/>
          <w:color w:val="auto"/>
          <w:sz w:val="24"/>
          <w:szCs w:val="24"/>
        </w:rPr>
        <w:t>（一）报价函</w:t>
      </w:r>
      <w:r>
        <w:rPr>
          <w:rFonts w:hint="eastAsia"/>
          <w:color w:val="auto"/>
          <w:sz w:val="24"/>
          <w:szCs w:val="24"/>
        </w:rPr>
        <w:t>（格式）</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color w:val="auto"/>
          <w:sz w:val="24"/>
          <w:szCs w:val="24"/>
        </w:rPr>
      </w:pPr>
      <w:r>
        <w:rPr>
          <w:rFonts w:hint="eastAsia"/>
          <w:color w:val="auto"/>
          <w:sz w:val="24"/>
          <w:szCs w:val="24"/>
        </w:rPr>
        <w:t>（二）</w:t>
      </w:r>
      <w:r>
        <w:rPr>
          <w:rFonts w:hint="eastAsia"/>
          <w:color w:val="auto"/>
          <w:sz w:val="24"/>
          <w:szCs w:val="24"/>
          <w:lang w:val="en-US" w:eastAsia="zh-CN"/>
        </w:rPr>
        <w:t>明细报价表</w:t>
      </w:r>
      <w:r>
        <w:rPr>
          <w:rFonts w:hint="eastAsia"/>
          <w:color w:val="auto"/>
          <w:sz w:val="24"/>
          <w:szCs w:val="24"/>
        </w:rPr>
        <w:t>（格式）</w:t>
      </w:r>
    </w:p>
    <w:p>
      <w:pPr>
        <w:keepNext w:val="0"/>
        <w:keepLines w:val="0"/>
        <w:pageBreakBefore w:val="0"/>
        <w:widowControl w:val="0"/>
        <w:numPr>
          <w:ilvl w:val="0"/>
          <w:numId w:val="4"/>
        </w:numPr>
        <w:kinsoku/>
        <w:wordWrap/>
        <w:overflowPunct/>
        <w:topLinePunct w:val="0"/>
        <w:autoSpaceDE/>
        <w:autoSpaceDN/>
        <w:bidi w:val="0"/>
        <w:adjustRightInd/>
        <w:spacing w:line="460" w:lineRule="exact"/>
        <w:textAlignment w:val="auto"/>
        <w:outlineLvl w:val="9"/>
        <w:rPr>
          <w:b/>
          <w:bCs/>
          <w:color w:val="auto"/>
          <w:sz w:val="24"/>
          <w:szCs w:val="24"/>
        </w:rPr>
      </w:pPr>
      <w:r>
        <w:rPr>
          <w:rFonts w:hint="eastAsia"/>
          <w:b/>
          <w:bCs/>
          <w:color w:val="auto"/>
          <w:sz w:val="24"/>
          <w:szCs w:val="24"/>
        </w:rPr>
        <w:t>其他文件</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color w:val="auto"/>
          <w:sz w:val="24"/>
          <w:szCs w:val="24"/>
        </w:rPr>
        <w:t xml:space="preserve">    投标单位提供与评分有关的内容或者投标单位认为需要提供的其他文件（</w:t>
      </w:r>
      <w:r>
        <w:rPr>
          <w:rFonts w:hint="eastAsia" w:asciiTheme="minorEastAsia" w:hAnsiTheme="minorEastAsia"/>
          <w:color w:val="auto"/>
          <w:kern w:val="0"/>
          <w:sz w:val="24"/>
          <w:szCs w:val="24"/>
        </w:rPr>
        <w:t>每页加盖投标单位鲜章或骑缝章</w:t>
      </w:r>
      <w:r>
        <w:rPr>
          <w:rFonts w:hint="eastAsia"/>
          <w:color w:val="auto"/>
          <w:sz w:val="24"/>
          <w:szCs w:val="24"/>
        </w:rPr>
        <w:t>）</w:t>
      </w:r>
    </w:p>
    <w:p>
      <w:pPr>
        <w:spacing w:line="460" w:lineRule="exact"/>
        <w:rPr>
          <w:rFonts w:ascii="宋体" w:hAnsi="宋体" w:cs="Arial"/>
          <w:color w:val="auto"/>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pStyle w:val="6"/>
        <w:rPr>
          <w:rFonts w:ascii="宋体" w:hAnsi="宋体" w:cs="Arial"/>
          <w:sz w:val="24"/>
          <w:szCs w:val="24"/>
        </w:rPr>
      </w:pPr>
    </w:p>
    <w:p>
      <w:pPr>
        <w:pStyle w:val="16"/>
        <w:rPr>
          <w:rFonts w:ascii="宋体" w:hAnsi="宋体" w:cs="Arial"/>
          <w:sz w:val="24"/>
          <w:szCs w:val="24"/>
        </w:rPr>
      </w:pPr>
    </w:p>
    <w:p>
      <w:pPr>
        <w:pStyle w:val="16"/>
        <w:rPr>
          <w:rFonts w:ascii="宋体" w:hAnsi="宋体" w:cs="Arial"/>
          <w:sz w:val="24"/>
          <w:szCs w:val="24"/>
        </w:rPr>
      </w:pPr>
    </w:p>
    <w:p>
      <w:pPr>
        <w:pStyle w:val="16"/>
        <w:rPr>
          <w:rFonts w:ascii="宋体" w:hAnsi="宋体" w:cs="Arial"/>
          <w:sz w:val="24"/>
          <w:szCs w:val="24"/>
        </w:rPr>
      </w:pPr>
    </w:p>
    <w:p>
      <w:pPr>
        <w:pStyle w:val="16"/>
        <w:rPr>
          <w:rFonts w:ascii="宋体" w:hAnsi="宋体" w:cs="Arial"/>
          <w:sz w:val="24"/>
          <w:szCs w:val="24"/>
        </w:rPr>
      </w:pPr>
    </w:p>
    <w:p>
      <w:pPr>
        <w:pStyle w:val="16"/>
        <w:rPr>
          <w:rFonts w:ascii="宋体" w:hAnsi="宋体" w:cs="Arial"/>
          <w:sz w:val="24"/>
          <w:szCs w:val="24"/>
        </w:rPr>
      </w:pPr>
    </w:p>
    <w:p>
      <w:pPr>
        <w:pStyle w:val="16"/>
        <w:rPr>
          <w:rFonts w:ascii="宋体" w:hAnsi="宋体" w:cs="Arial"/>
          <w:sz w:val="24"/>
          <w:szCs w:val="24"/>
        </w:rPr>
      </w:pPr>
    </w:p>
    <w:p>
      <w:pPr>
        <w:pStyle w:val="16"/>
        <w:rPr>
          <w:rFonts w:ascii="宋体" w:hAnsi="宋体" w:cs="Arial"/>
          <w:sz w:val="24"/>
          <w:szCs w:val="24"/>
        </w:rPr>
      </w:pPr>
    </w:p>
    <w:p>
      <w:pPr>
        <w:pStyle w:val="16"/>
        <w:rPr>
          <w:rFonts w:ascii="宋体" w:hAnsi="宋体" w:cs="Arial"/>
          <w:sz w:val="24"/>
          <w:szCs w:val="24"/>
        </w:rPr>
      </w:pPr>
    </w:p>
    <w:p>
      <w:pPr>
        <w:pStyle w:val="16"/>
        <w:rPr>
          <w:rFonts w:ascii="宋体" w:hAnsi="宋体" w:cs="Arial"/>
          <w:sz w:val="24"/>
          <w:szCs w:val="24"/>
        </w:rPr>
      </w:pPr>
    </w:p>
    <w:p>
      <w:pPr>
        <w:spacing w:line="460" w:lineRule="exact"/>
        <w:rPr>
          <w:rFonts w:ascii="宋体" w:hAnsi="宋体" w:eastAsia="宋体" w:cs="Arial"/>
          <w:sz w:val="24"/>
          <w:szCs w:val="24"/>
        </w:rPr>
      </w:pPr>
      <w:r>
        <w:rPr>
          <w:rFonts w:hint="eastAsia" w:ascii="宋体" w:hAnsi="宋体" w:cs="Arial"/>
          <w:sz w:val="24"/>
          <w:szCs w:val="24"/>
        </w:rPr>
        <w:t>以下为投标响应文件</w:t>
      </w:r>
    </w:p>
    <w:p>
      <w:pPr>
        <w:pStyle w:val="4"/>
        <w:pageBreakBefore w:val="0"/>
        <w:numPr>
          <w:ilvl w:val="0"/>
          <w:numId w:val="5"/>
        </w:numPr>
        <w:kinsoku/>
        <w:wordWrap/>
        <w:overflowPunct/>
        <w:topLinePunct w:val="0"/>
        <w:autoSpaceDE/>
        <w:autoSpaceDN/>
        <w:bidi w:val="0"/>
        <w:adjustRightInd/>
        <w:spacing w:line="460" w:lineRule="exact"/>
        <w:ind w:firstLine="562"/>
        <w:textAlignment w:val="auto"/>
        <w:rPr>
          <w:rFonts w:hint="eastAsia" w:asciiTheme="minorEastAsia" w:hAnsiTheme="minorEastAsia" w:eastAsiaTheme="minorEastAsia" w:cstheme="minorEastAsia"/>
          <w:snapToGrid w:val="0"/>
          <w:kern w:val="0"/>
          <w:sz w:val="24"/>
          <w:szCs w:val="24"/>
        </w:rPr>
      </w:pPr>
      <w:bookmarkStart w:id="38" w:name="_Toc372538174"/>
      <w:r>
        <w:rPr>
          <w:rFonts w:hint="eastAsia" w:asciiTheme="minorEastAsia" w:hAnsiTheme="minorEastAsia" w:eastAsiaTheme="minorEastAsia" w:cstheme="minorEastAsia"/>
          <w:snapToGrid w:val="0"/>
          <w:kern w:val="0"/>
          <w:sz w:val="24"/>
          <w:szCs w:val="24"/>
        </w:rPr>
        <w:t>资格文件</w:t>
      </w: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auto"/>
          <w:sz w:val="24"/>
          <w:szCs w:val="24"/>
        </w:rPr>
        <w:t>（一）营业执照或者法人证书复印件（加盖投标单位鲜章）</w:t>
      </w:r>
    </w:p>
    <w:p>
      <w:pPr>
        <w:pageBreakBefore w:val="0"/>
        <w:numPr>
          <w:ilvl w:val="0"/>
          <w:numId w:val="0"/>
        </w:numPr>
        <w:kinsoku/>
        <w:wordWrap/>
        <w:overflowPunct/>
        <w:topLinePunct w:val="0"/>
        <w:autoSpaceDE/>
        <w:autoSpaceDN/>
        <w:bidi w:val="0"/>
        <w:adjustRightInd/>
        <w:spacing w:line="460" w:lineRule="exact"/>
        <w:ind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（二）特定资格条件复印件（加盖投标单位鲜章）</w:t>
      </w: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）法定代表人身份证明书或者法定代表人授权委托书</w:t>
      </w:r>
    </w:p>
    <w:p>
      <w:pPr>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法定代表人身份证明书</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ind w:firstLine="74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（法定代表人姓名）在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（投标单位全称）任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（职务名称）职务，是__________________（投标单位全称）的法定代表人。</w:t>
      </w:r>
    </w:p>
    <w:p>
      <w:pPr>
        <w:pageBreakBefore w:val="0"/>
        <w:tabs>
          <w:tab w:val="left" w:pos="6300"/>
        </w:tabs>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ind w:firstLine="573"/>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13"/>
        <w:tblW w:w="82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1" w:hRule="atLeast"/>
        </w:trPr>
        <w:tc>
          <w:tcPr>
            <w:tcW w:w="822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法定代表人身份证正反面复印件</w:t>
            </w: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tbl>
    <w:p>
      <w:pPr>
        <w:pStyle w:val="4"/>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z w:val="24"/>
          <w:szCs w:val="24"/>
        </w:rPr>
      </w:pPr>
      <w:bookmarkStart w:id="39" w:name="_Toc372538179"/>
      <w:r>
        <w:rPr>
          <w:rFonts w:hint="eastAsia" w:asciiTheme="minorEastAsia" w:hAnsiTheme="minorEastAsia" w:eastAsiaTheme="minorEastAsia" w:cstheme="minorEastAsia"/>
          <w:snapToGrid w:val="0"/>
          <w:kern w:val="0"/>
          <w:sz w:val="24"/>
          <w:szCs w:val="24"/>
        </w:rPr>
        <w:t>法定代表人授权委托书</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ageBreakBefore w:val="0"/>
        <w:kinsoku/>
        <w:wordWrap/>
        <w:overflowPunct/>
        <w:topLinePunct w:val="0"/>
        <w:autoSpaceDE/>
        <w:autoSpaceDN/>
        <w:bidi w:val="0"/>
        <w:adjustRightIn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（投标单位名称）的法定代表人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（姓名）特授权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（被授权人姓名）身份证代码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代表我单位全权办理</w:t>
      </w:r>
      <w:r>
        <w:rPr>
          <w:rFonts w:hint="eastAsia" w:asciiTheme="minorEastAsia" w:hAnsiTheme="minorEastAsia" w:cstheme="minorEastAsia"/>
          <w:color w:val="auto"/>
          <w:sz w:val="24"/>
          <w:szCs w:val="24"/>
          <w:u w:val="single"/>
          <w:lang w:eastAsia="zh-CN"/>
        </w:rPr>
        <w:t>重庆中国三峡博物馆关键信息系统等保评测和商用密码应用安全性评估服务</w:t>
      </w:r>
      <w:r>
        <w:rPr>
          <w:rFonts w:hint="eastAsia" w:asciiTheme="minorEastAsia" w:hAnsiTheme="minorEastAsia" w:eastAsiaTheme="minorEastAsia" w:cstheme="minorEastAsia"/>
          <w:color w:val="auto"/>
          <w:sz w:val="24"/>
          <w:szCs w:val="24"/>
        </w:rPr>
        <w:t>项目</w:t>
      </w:r>
      <w:r>
        <w:rPr>
          <w:rFonts w:hint="eastAsia" w:asciiTheme="minorEastAsia" w:hAnsiTheme="minorEastAsia" w:eastAsiaTheme="minorEastAsia" w:cstheme="minorEastAsia"/>
          <w:sz w:val="24"/>
          <w:szCs w:val="24"/>
        </w:rPr>
        <w:t>的投标、磋商、签约等工作，并签署全部有关文件、协议及合同。</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我单位对被授权人的签字负全部责任。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在撤消被授权人的授权书面通知以前，本授权委托书一直有效。被授权人在授权委托书有效期内签署的所有文件不因授权的撤消而失效。</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被授权人：                 法定代表人：</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                (签字或盖章)     </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13"/>
        <w:tblW w:w="819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0" w:hRule="atLeast"/>
        </w:trPr>
        <w:tc>
          <w:tcPr>
            <w:tcW w:w="819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被授权人身份证正反面复印件</w:t>
            </w: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bookmarkEnd w:id="39"/>
    </w:tbl>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Style w:val="6"/>
        <w:rPr>
          <w:rFonts w:hint="eastAsia"/>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）诚信声明书（格式）</w:t>
      </w:r>
    </w:p>
    <w:p>
      <w:pPr>
        <w:pStyle w:val="4"/>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诚信声明书</w:t>
      </w:r>
    </w:p>
    <w:p>
      <w:pPr>
        <w:pageBreakBefore w:val="0"/>
        <w:kinsoku/>
        <w:wordWrap/>
        <w:overflowPunct/>
        <w:topLinePunct w:val="0"/>
        <w:autoSpaceDE/>
        <w:autoSpaceDN/>
        <w:bidi w:val="0"/>
        <w:adjustRightInd/>
        <w:spacing w:line="460" w:lineRule="exact"/>
        <w:ind w:firstLine="480" w:firstLineChars="200"/>
        <w:jc w:val="center"/>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（投标单位名称）郑重声明：</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具有良好的商业信誉和诚实的商业道德，具有健全的财务会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吊销许可证或者执照、较大数额罚款等重大违法记录，符合《中华人民共和国政府采购法》、《中华人民共和国政府采购法实施条例》规定的供应商资格条件，我方所提供的投标文件均已经过认真、严格的审核，其内容均为合法真实、准确有效且毫无遗漏和保留，绝无任何虚假、伪造和夸大的成份。</w:t>
      </w:r>
    </w:p>
    <w:p>
      <w:pPr>
        <w:pageBreakBefore w:val="0"/>
        <w:kinsoku/>
        <w:wordWrap/>
        <w:overflowPunct/>
        <w:topLinePunct w:val="0"/>
        <w:autoSpaceDE/>
        <w:autoSpaceDN/>
        <w:bidi w:val="0"/>
        <w:adjustRightInd/>
        <w:spacing w:line="46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我方对以上声明负全部法律责任。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ind w:right="54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法定代表人或被授权代表：</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pPr>
        <w:rPr>
          <w:rFonts w:hint="eastAsia"/>
        </w:rPr>
      </w:pPr>
      <w:r>
        <w:rPr>
          <w:rFonts w:hint="eastAsia" w:asciiTheme="minorEastAsia" w:hAnsiTheme="minorEastAsia" w:eastAsiaTheme="minorEastAsia" w:cstheme="minorEastAsia"/>
          <w:sz w:val="24"/>
          <w:szCs w:val="24"/>
        </w:rPr>
        <w:br w:type="page"/>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numPr>
          <w:ilvl w:val="0"/>
          <w:numId w:val="6"/>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rPr>
        <w:t>技术文件</w:t>
      </w: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（一）技术部分 （格式、内容自拟，每页加盖投标单位鲜章）</w:t>
      </w: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（二）商务部分 （格式、内容自拟，每页加盖投标单位鲜章）</w:t>
      </w: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color w:val="auto"/>
          <w:kern w:val="0"/>
          <w:sz w:val="24"/>
          <w:szCs w:val="24"/>
        </w:rPr>
      </w:pPr>
      <w:r>
        <w:rPr>
          <w:rFonts w:hint="eastAsia" w:asciiTheme="minorEastAsia" w:hAnsiTheme="minorEastAsia" w:cstheme="minorEastAsia"/>
          <w:color w:val="auto"/>
          <w:sz w:val="24"/>
          <w:szCs w:val="24"/>
          <w:lang w:val="en-US" w:eastAsia="zh-CN"/>
        </w:rPr>
        <w:t>三、</w:t>
      </w:r>
      <w:r>
        <w:rPr>
          <w:rFonts w:hint="eastAsia" w:asciiTheme="minorEastAsia" w:hAnsiTheme="minorEastAsia" w:eastAsiaTheme="minorEastAsia" w:cstheme="minorEastAsia"/>
          <w:b/>
          <w:bCs/>
          <w:snapToGrid w:val="0"/>
          <w:color w:val="auto"/>
          <w:kern w:val="0"/>
          <w:sz w:val="24"/>
          <w:szCs w:val="24"/>
        </w:rPr>
        <w:t>经济文件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（一）报价函（格式）</w:t>
      </w:r>
    </w:p>
    <w:p>
      <w:pPr>
        <w:pStyle w:val="4"/>
        <w:pageBreakBefore w:val="0"/>
        <w:kinsoku/>
        <w:wordWrap/>
        <w:overflowPunct/>
        <w:topLinePunct w:val="0"/>
        <w:autoSpaceDE/>
        <w:autoSpaceDN/>
        <w:bidi w:val="0"/>
        <w:adjustRightInd/>
        <w:spacing w:line="460" w:lineRule="exact"/>
        <w:ind w:firstLine="562"/>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报 价 函</w:t>
      </w:r>
      <w:bookmarkEnd w:id="38"/>
      <w:bookmarkStart w:id="40" w:name="_Toc372538175"/>
    </w:p>
    <w:p>
      <w:pPr>
        <w:pStyle w:val="4"/>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重庆中国三峡博物馆：</w:t>
      </w:r>
    </w:p>
    <w:p>
      <w:pPr>
        <w:pStyle w:val="4"/>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我单位收到贵单位</w:t>
      </w:r>
      <w:r>
        <w:rPr>
          <w:rFonts w:hint="eastAsia" w:asciiTheme="minorEastAsia" w:hAnsiTheme="minorEastAsia" w:eastAsiaTheme="minorEastAsia" w:cstheme="minorEastAsia"/>
          <w:color w:val="auto"/>
          <w:sz w:val="24"/>
          <w:szCs w:val="24"/>
          <w:u w:val="single"/>
        </w:rPr>
        <w:t>《</w:t>
      </w:r>
      <w:r>
        <w:rPr>
          <w:rFonts w:hint="eastAsia" w:asciiTheme="minorEastAsia" w:hAnsiTheme="minorEastAsia" w:eastAsiaTheme="minorEastAsia" w:cstheme="minorEastAsia"/>
          <w:color w:val="auto"/>
          <w:sz w:val="24"/>
          <w:szCs w:val="24"/>
          <w:u w:val="single"/>
          <w:lang w:eastAsia="zh-CN"/>
        </w:rPr>
        <w:t>重庆中国三峡博物馆关键信息系统等保评测和商用密码应用安全性评估服务</w:t>
      </w:r>
      <w:r>
        <w:rPr>
          <w:rFonts w:hint="eastAsia" w:asciiTheme="minorEastAsia" w:hAnsiTheme="minorEastAsia" w:eastAsiaTheme="minorEastAsia" w:cstheme="minorEastAsia"/>
          <w:color w:val="auto"/>
          <w:sz w:val="24"/>
          <w:szCs w:val="24"/>
          <w:u w:val="single"/>
        </w:rPr>
        <w:t>询比文件》</w:t>
      </w:r>
      <w:r>
        <w:rPr>
          <w:rFonts w:hint="eastAsia" w:asciiTheme="minorEastAsia" w:hAnsiTheme="minorEastAsia" w:eastAsiaTheme="minorEastAsia" w:cstheme="minorEastAsia"/>
          <w:color w:val="auto"/>
          <w:sz w:val="24"/>
          <w:szCs w:val="24"/>
        </w:rPr>
        <w:t>，通过我单位的授权代表，向贵单位递交全套投标文件参与下列项目的投标报价，现为我单位的一切投标行为作郑重承诺及声明如下：</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报价项目名称：</w:t>
      </w:r>
      <w:r>
        <w:rPr>
          <w:rFonts w:hint="eastAsia" w:asciiTheme="minorEastAsia" w:hAnsiTheme="minorEastAsia" w:cstheme="minorEastAsia"/>
          <w:color w:val="auto"/>
          <w:sz w:val="24"/>
          <w:szCs w:val="24"/>
          <w:u w:val="single"/>
          <w:lang w:eastAsia="zh-CN"/>
        </w:rPr>
        <w:t>重庆中国三峡博物馆关键信息系统等保评测和商用密码应用安全性评估服务</w:t>
      </w:r>
      <w:r>
        <w:rPr>
          <w:rFonts w:hint="eastAsia" w:asciiTheme="minorEastAsia" w:hAnsiTheme="minorEastAsia" w:eastAsiaTheme="minorEastAsia" w:cstheme="minorEastAsia"/>
          <w:color w:val="auto"/>
          <w:sz w:val="24"/>
          <w:szCs w:val="24"/>
        </w:rPr>
        <w:t>。</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color w:val="auto"/>
          <w:sz w:val="24"/>
          <w:szCs w:val="24"/>
        </w:rPr>
        <w:t>2.  我单位已认真阅读了</w:t>
      </w:r>
      <w:r>
        <w:rPr>
          <w:rFonts w:hint="eastAsia" w:asciiTheme="minorEastAsia" w:hAnsiTheme="minorEastAsia" w:eastAsiaTheme="minorEastAsia" w:cstheme="minorEastAsia"/>
          <w:color w:val="auto"/>
          <w:sz w:val="24"/>
          <w:szCs w:val="24"/>
          <w:u w:val="single"/>
        </w:rPr>
        <w:t>《</w:t>
      </w:r>
      <w:r>
        <w:rPr>
          <w:rFonts w:hint="eastAsia" w:asciiTheme="minorEastAsia" w:hAnsiTheme="minorEastAsia" w:cstheme="minorEastAsia"/>
          <w:color w:val="auto"/>
          <w:sz w:val="24"/>
          <w:szCs w:val="24"/>
          <w:u w:val="single"/>
          <w:lang w:eastAsia="zh-CN"/>
        </w:rPr>
        <w:t>重庆中国三峡博物馆关键信息系统等保评测和商用密码应用安全性评估服务</w:t>
      </w:r>
      <w:r>
        <w:rPr>
          <w:rFonts w:hint="eastAsia" w:asciiTheme="minorEastAsia" w:hAnsiTheme="minorEastAsia" w:eastAsiaTheme="minorEastAsia" w:cstheme="minorEastAsia"/>
          <w:color w:val="auto"/>
          <w:sz w:val="24"/>
          <w:szCs w:val="24"/>
          <w:u w:val="single"/>
        </w:rPr>
        <w:t>询比文件》</w:t>
      </w:r>
      <w:r>
        <w:rPr>
          <w:rFonts w:hint="eastAsia" w:asciiTheme="minorEastAsia" w:hAnsiTheme="minorEastAsia" w:eastAsiaTheme="minorEastAsia" w:cstheme="minorEastAsia"/>
          <w:color w:val="auto"/>
          <w:sz w:val="24"/>
          <w:szCs w:val="24"/>
        </w:rPr>
        <w:t>，完全清楚理</w:t>
      </w:r>
      <w:r>
        <w:rPr>
          <w:rFonts w:hint="eastAsia" w:asciiTheme="minorEastAsia" w:hAnsiTheme="minorEastAsia" w:eastAsiaTheme="minorEastAsia" w:cstheme="minorEastAsia"/>
          <w:sz w:val="24"/>
          <w:szCs w:val="24"/>
        </w:rPr>
        <w:t>解其内容及规约，同意接受采购文件的要求，均没有任何异议、质疑和误解之处。</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报价有效期为自递交报价文件起至中标单位确定止，若我单位获成交资格，报价有效期则相应延长至本项目最终验收合格并结算完毕之日，不论在任何时候，将按贵单位的要求在规定时间内保质保量地完成任务。</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我单位完全服从和尊重评审结果和决定。</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同意按询比文件要求认真履行成交人的义务，若我方行为不当而损害了贵单位的合法权益，我单位愿在任何时候无条件承担相应的缔约过失责任和经济赔偿。</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我单位在本次投标活动中，不以任何不正当的手段影响、串通、排斥有关当事人或谋取、施予非法利益，如有行为不当，愿独自承担此行为所造成的后果和法律责任。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以上承诺均涵盖整套投标文件。</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按询比文件要求，我单位愿意以（人民币）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），作为此次投标的最终报价。</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法定代表人或被授权代表：</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投标单位（全称）：        （公章）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联系电话：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w:t>
      </w:r>
      <w:bookmarkEnd w:id="40"/>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6"/>
        <w:rPr>
          <w:rFonts w:hint="eastAsia"/>
        </w:rPr>
      </w:pPr>
    </w:p>
    <w:p>
      <w:pPr>
        <w:pageBreakBefore w:val="0"/>
        <w:numPr>
          <w:ilvl w:val="0"/>
          <w:numId w:val="7"/>
        </w:numPr>
        <w:kinsoku/>
        <w:wordWrap/>
        <w:overflowPunct/>
        <w:topLinePunct w:val="0"/>
        <w:autoSpaceDE/>
        <w:autoSpaceDN/>
        <w:bidi w:val="0"/>
        <w:adjustRightInd/>
        <w:spacing w:line="460" w:lineRule="exac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明细报价表（格式）</w:t>
      </w:r>
    </w:p>
    <w:p>
      <w:pPr>
        <w:pStyle w:val="6"/>
        <w:numPr>
          <w:ilvl w:val="0"/>
          <w:numId w:val="0"/>
        </w:numPr>
        <w:rPr>
          <w:rFonts w:hint="eastAsia"/>
        </w:rPr>
      </w:pPr>
    </w:p>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cstheme="minorEastAsia"/>
          <w:color w:val="auto"/>
          <w:sz w:val="24"/>
          <w:szCs w:val="24"/>
          <w:lang w:val="en-US" w:eastAsia="zh-CN"/>
        </w:rPr>
        <w:t>重庆中国三峡博物馆关键信息系统等保评测和商用密码应用安全性评估服务</w:t>
      </w:r>
    </w:p>
    <w:tbl>
      <w:tblPr>
        <w:tblStyle w:val="13"/>
        <w:tblW w:w="87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64"/>
        <w:gridCol w:w="2249"/>
        <w:gridCol w:w="1894"/>
        <w:gridCol w:w="81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66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w:t>
            </w:r>
          </w:p>
        </w:tc>
        <w:tc>
          <w:tcPr>
            <w:tcW w:w="224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内容</w:t>
            </w: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综合单价</w:t>
            </w:r>
          </w:p>
        </w:tc>
        <w:tc>
          <w:tcPr>
            <w:tcW w:w="817"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1268"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r>
              <w:rPr>
                <w:rFonts w:hint="eastAsia" w:asciiTheme="minorEastAsia" w:hAnsiTheme="minorEastAsia" w:eastAsiaTheme="minorEastAsia" w:cstheme="minorEastAsia"/>
                <w:color w:val="auto"/>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p>
        </w:tc>
        <w:tc>
          <w:tcPr>
            <w:tcW w:w="817" w:type="dxa"/>
          </w:tcPr>
          <w:p>
            <w:pPr>
              <w:keepNext w:val="0"/>
              <w:keepLines w:val="0"/>
              <w:pageBreakBefore w:val="0"/>
              <w:suppressLineNumbers w:val="0"/>
              <w:tabs>
                <w:tab w:val="left" w:pos="312"/>
              </w:tabs>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rPr>
            </w:pPr>
          </w:p>
        </w:tc>
        <w:tc>
          <w:tcPr>
            <w:tcW w:w="224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2489" w:type="dxa"/>
            <w:gridSpan w:val="2"/>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 计（与报价函的报价一致，如不一致，以</w:t>
            </w:r>
            <w:r>
              <w:rPr>
                <w:rFonts w:hint="eastAsia" w:asciiTheme="minorEastAsia" w:hAnsiTheme="minorEastAsia" w:eastAsiaTheme="minorEastAsia" w:cstheme="minorEastAsia"/>
                <w:color w:val="auto"/>
                <w:sz w:val="24"/>
                <w:szCs w:val="24"/>
                <w:lang w:eastAsia="zh-CN"/>
              </w:rPr>
              <w:t>最小金额</w:t>
            </w:r>
            <w:r>
              <w:rPr>
                <w:rFonts w:hint="eastAsia" w:asciiTheme="minorEastAsia" w:hAnsiTheme="minorEastAsia" w:eastAsiaTheme="minorEastAsia" w:cstheme="minorEastAsia"/>
                <w:color w:val="auto"/>
                <w:sz w:val="24"/>
                <w:szCs w:val="24"/>
              </w:rPr>
              <w:t>为准）</w:t>
            </w:r>
          </w:p>
        </w:tc>
        <w:tc>
          <w:tcPr>
            <w:tcW w:w="6228" w:type="dxa"/>
            <w:gridSpan w:val="4"/>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人民币（大写）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 xml:space="preserve">               小写： </w:t>
            </w:r>
          </w:p>
        </w:tc>
      </w:tr>
    </w:tbl>
    <w:p>
      <w:pPr>
        <w:pageBreakBefore w:val="0"/>
        <w:kinsoku/>
        <w:wordWrap/>
        <w:overflowPunct/>
        <w:topLinePunct w:val="0"/>
        <w:autoSpaceDE/>
        <w:autoSpaceDN/>
        <w:bidi w:val="0"/>
        <w:adjustRightInd/>
        <w:snapToGrid w:val="0"/>
        <w:spacing w:line="460" w:lineRule="exact"/>
        <w:rPr>
          <w:rFonts w:hint="eastAsia" w:asciiTheme="minorEastAsia" w:hAnsiTheme="minorEastAsia" w:eastAsiaTheme="minorEastAsia" w:cstheme="minorEastAsia"/>
          <w:color w:val="auto"/>
          <w:sz w:val="24"/>
          <w:szCs w:val="24"/>
          <w:bdr w:val="single" w:color="auto" w:sz="4" w:space="0"/>
        </w:rPr>
      </w:pPr>
      <w:r>
        <w:rPr>
          <w:rFonts w:hint="eastAsia" w:asciiTheme="minorEastAsia" w:hAnsiTheme="minorEastAsia" w:eastAsiaTheme="minorEastAsia" w:cstheme="minorEastAsia"/>
          <w:color w:val="auto"/>
          <w:sz w:val="24"/>
          <w:szCs w:val="24"/>
        </w:rPr>
        <w:t>（此表</w:t>
      </w:r>
      <w:r>
        <w:rPr>
          <w:rFonts w:hint="eastAsia" w:asciiTheme="minorEastAsia" w:hAnsiTheme="minorEastAsia" w:cstheme="minorEastAsia"/>
          <w:color w:val="auto"/>
          <w:sz w:val="24"/>
          <w:szCs w:val="24"/>
          <w:lang w:val="en-US" w:eastAsia="zh-CN"/>
        </w:rPr>
        <w:t>为样表，可</w:t>
      </w:r>
      <w:r>
        <w:rPr>
          <w:rFonts w:hint="eastAsia" w:asciiTheme="minorEastAsia" w:hAnsiTheme="minorEastAsia" w:eastAsiaTheme="minorEastAsia" w:cstheme="minorEastAsia"/>
          <w:color w:val="auto"/>
          <w:sz w:val="24"/>
          <w:szCs w:val="24"/>
        </w:rPr>
        <w:t>根据各种资费内容自行设计）</w:t>
      </w:r>
    </w:p>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投标单位：</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法定代表人或被授权代表</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投标单位</w:t>
      </w:r>
      <w:r>
        <w:rPr>
          <w:rFonts w:hint="eastAsia" w:asciiTheme="minorEastAsia" w:hAnsiTheme="minorEastAsia" w:eastAsiaTheme="minorEastAsia" w:cstheme="minorEastAsia"/>
          <w:sz w:val="24"/>
          <w:szCs w:val="24"/>
        </w:rPr>
        <w:t>公章）</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eastAsia="zh-CN"/>
        </w:rPr>
        <w:t>或盖章</w:t>
      </w: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 xml:space="preserve">    </w:t>
      </w:r>
    </w:p>
    <w:p>
      <w:pPr>
        <w:pStyle w:val="9"/>
        <w:pageBreakBefore w:val="0"/>
        <w:kinsoku/>
        <w:wordWrap/>
        <w:overflowPunct/>
        <w:topLinePunct w:val="0"/>
        <w:autoSpaceDE/>
        <w:autoSpaceDN/>
        <w:bidi w:val="0"/>
        <w:adjustRightInd/>
        <w:spacing w:line="460" w:lineRule="exact"/>
        <w:ind w:firstLine="3960" w:firstLineChars="165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     月    日</w:t>
      </w:r>
    </w:p>
    <w:p>
      <w:pPr>
        <w:pStyle w:val="6"/>
        <w:numPr>
          <w:ilvl w:val="0"/>
          <w:numId w:val="0"/>
        </w:numPr>
        <w:rPr>
          <w:rFonts w:hint="eastAsia"/>
        </w:rPr>
      </w:pP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cstheme="minorEastAsia"/>
          <w:b/>
          <w:bCs/>
          <w:snapToGrid w:val="0"/>
          <w:kern w:val="0"/>
          <w:sz w:val="24"/>
          <w:szCs w:val="24"/>
          <w:lang w:val="en-US" w:eastAsia="zh-CN"/>
        </w:rPr>
        <w:t>四、</w:t>
      </w:r>
      <w:r>
        <w:rPr>
          <w:rFonts w:hint="eastAsia" w:asciiTheme="minorEastAsia" w:hAnsiTheme="minorEastAsia" w:eastAsiaTheme="minorEastAsia" w:cstheme="minorEastAsia"/>
          <w:b/>
          <w:bCs/>
          <w:snapToGrid w:val="0"/>
          <w:kern w:val="0"/>
          <w:sz w:val="24"/>
          <w:szCs w:val="24"/>
        </w:rPr>
        <w:t>其他文件（不作为必要要件）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投标单位提供与评分有关的内容或者投标单位认为需要提供的其他文件（每页加盖投标单位鲜章或骑缝章）</w:t>
      </w:r>
    </w:p>
    <w:p>
      <w:pPr>
        <w:numPr>
          <w:ilvl w:val="0"/>
          <w:numId w:val="0"/>
        </w:numPr>
        <w:jc w:val="both"/>
        <w:rPr>
          <w:rFonts w:hint="eastAsia" w:ascii="宋体" w:hAnsi="宋体" w:cs="Arial"/>
          <w:snapToGrid w:val="0"/>
          <w:kern w:val="0"/>
          <w:sz w:val="30"/>
          <w:szCs w:val="30"/>
          <w:lang w:val="en-US" w:eastAsia="zh-CN"/>
        </w:rPr>
      </w:pPr>
    </w:p>
    <w:p/>
    <w:p/>
    <w:sectPr>
      <w:headerReference r:id="rId3" w:type="default"/>
      <w:footerReference r:id="rId4" w:type="default"/>
      <w:pgSz w:w="11907" w:h="16840"/>
      <w:pgMar w:top="1440" w:right="1797" w:bottom="1440" w:left="1797" w:header="851" w:footer="992" w:gutter="0"/>
      <w:pgBorders>
        <w:top w:val="none" w:color="auto" w:sz="0" w:space="0"/>
        <w:left w:val="none" w:color="auto" w:sz="0" w:space="0"/>
        <w:bottom w:val="none" w:color="auto" w:sz="0" w:space="0"/>
        <w:right w:val="none" w:color="auto" w:sz="0" w:space="0"/>
      </w:pgBorders>
      <w:pgNumType w:fmt="decimal"/>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Corbel"/>
    <w:panose1 w:val="02000503000000020004"/>
    <w:charset w:val="00"/>
    <w:family w:val="roman"/>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sz w:val="28"/>
      </w:rPr>
    </w:pPr>
    <w:r>
      <w:rPr>
        <w:rStyle w:val="12"/>
        <w:sz w:val="28"/>
      </w:rPr>
      <w:t>-</w:t>
    </w:r>
    <w:r>
      <w:rPr>
        <w:sz w:val="28"/>
      </w:rPr>
      <w:fldChar w:fldCharType="begin"/>
    </w:r>
    <w:r>
      <w:rPr>
        <w:rStyle w:val="12"/>
        <w:sz w:val="28"/>
      </w:rPr>
      <w:instrText xml:space="preserve">PAGE  </w:instrText>
    </w:r>
    <w:r>
      <w:rPr>
        <w:sz w:val="28"/>
      </w:rPr>
      <w:fldChar w:fldCharType="separate"/>
    </w:r>
    <w:r>
      <w:rPr>
        <w:rStyle w:val="12"/>
        <w:sz w:val="28"/>
      </w:rPr>
      <w:t>2</w:t>
    </w:r>
    <w:r>
      <w:rPr>
        <w:sz w:val="28"/>
      </w:rPr>
      <w:fldChar w:fldCharType="end"/>
    </w:r>
    <w:r>
      <w:rPr>
        <w:rStyle w:val="12"/>
        <w:sz w:val="28"/>
      </w:rPr>
      <w:t>-</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46ECB"/>
    <w:multiLevelType w:val="singleLevel"/>
    <w:tmpl w:val="B3046ECB"/>
    <w:lvl w:ilvl="0" w:tentative="0">
      <w:start w:val="3"/>
      <w:numFmt w:val="chineseCounting"/>
      <w:suff w:val="nothing"/>
      <w:lvlText w:val="（%1）"/>
      <w:lvlJc w:val="left"/>
      <w:pPr>
        <w:ind w:left="543" w:firstLine="0"/>
      </w:pPr>
      <w:rPr>
        <w:rFonts w:hint="eastAsia"/>
      </w:rPr>
    </w:lvl>
  </w:abstractNum>
  <w:abstractNum w:abstractNumId="1">
    <w:nsid w:val="B6C596DF"/>
    <w:multiLevelType w:val="singleLevel"/>
    <w:tmpl w:val="B6C596DF"/>
    <w:lvl w:ilvl="0" w:tentative="0">
      <w:start w:val="2"/>
      <w:numFmt w:val="chineseCounting"/>
      <w:suff w:val="nothing"/>
      <w:lvlText w:val="（%1）"/>
      <w:lvlJc w:val="left"/>
      <w:rPr>
        <w:rFonts w:hint="eastAsia"/>
      </w:rPr>
    </w:lvl>
  </w:abstractNum>
  <w:abstractNum w:abstractNumId="2">
    <w:nsid w:val="5A712E63"/>
    <w:multiLevelType w:val="singleLevel"/>
    <w:tmpl w:val="5A712E63"/>
    <w:lvl w:ilvl="0" w:tentative="0">
      <w:start w:val="1"/>
      <w:numFmt w:val="chineseCounting"/>
      <w:suff w:val="nothing"/>
      <w:lvlText w:val="（%1）"/>
      <w:lvlJc w:val="left"/>
    </w:lvl>
  </w:abstractNum>
  <w:abstractNum w:abstractNumId="3">
    <w:nsid w:val="5A712F59"/>
    <w:multiLevelType w:val="singleLevel"/>
    <w:tmpl w:val="5A712F59"/>
    <w:lvl w:ilvl="0" w:tentative="0">
      <w:start w:val="2"/>
      <w:numFmt w:val="chineseCounting"/>
      <w:suff w:val="nothing"/>
      <w:lvlText w:val="%1、"/>
      <w:lvlJc w:val="left"/>
    </w:lvl>
  </w:abstractNum>
  <w:abstractNum w:abstractNumId="4">
    <w:nsid w:val="5A7131F6"/>
    <w:multiLevelType w:val="singleLevel"/>
    <w:tmpl w:val="5A7131F6"/>
    <w:lvl w:ilvl="0" w:tentative="0">
      <w:start w:val="1"/>
      <w:numFmt w:val="chineseCounting"/>
      <w:suff w:val="nothing"/>
      <w:lvlText w:val="%1、"/>
      <w:lvlJc w:val="left"/>
    </w:lvl>
  </w:abstractNum>
  <w:abstractNum w:abstractNumId="5">
    <w:nsid w:val="5A71356A"/>
    <w:multiLevelType w:val="singleLevel"/>
    <w:tmpl w:val="5A71356A"/>
    <w:lvl w:ilvl="0" w:tentative="0">
      <w:start w:val="2"/>
      <w:numFmt w:val="chineseCounting"/>
      <w:suff w:val="nothing"/>
      <w:lvlText w:val="%1、"/>
      <w:lvlJc w:val="left"/>
    </w:lvl>
  </w:abstractNum>
  <w:abstractNum w:abstractNumId="6">
    <w:nsid w:val="69BD131E"/>
    <w:multiLevelType w:val="singleLevel"/>
    <w:tmpl w:val="69BD131E"/>
    <w:lvl w:ilvl="0" w:tentative="0">
      <w:start w:val="2"/>
      <w:numFmt w:val="chineseCounting"/>
      <w:suff w:val="nothing"/>
      <w:lvlText w:val="（%1）"/>
      <w:lvlJc w:val="left"/>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402C7"/>
    <w:rsid w:val="075C755D"/>
    <w:rsid w:val="0CDF7B7B"/>
    <w:rsid w:val="0F883BFF"/>
    <w:rsid w:val="0FD75776"/>
    <w:rsid w:val="111E322E"/>
    <w:rsid w:val="11A138EE"/>
    <w:rsid w:val="19D6782B"/>
    <w:rsid w:val="28C27214"/>
    <w:rsid w:val="2FE5544F"/>
    <w:rsid w:val="3DCF5EE2"/>
    <w:rsid w:val="41B75611"/>
    <w:rsid w:val="52522EFE"/>
    <w:rsid w:val="530402C7"/>
    <w:rsid w:val="5462582B"/>
    <w:rsid w:val="5CEF473C"/>
    <w:rsid w:val="639B61C8"/>
    <w:rsid w:val="6C553C2A"/>
    <w:rsid w:val="6FEFC86F"/>
    <w:rsid w:val="744002B2"/>
    <w:rsid w:val="74A5663B"/>
    <w:rsid w:val="7DD60DAD"/>
    <w:rsid w:val="7FF10733"/>
    <w:rsid w:val="EFF670AD"/>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snapToGrid w:val="0"/>
      <w:spacing w:line="360" w:lineRule="atLeast"/>
      <w:outlineLvl w:val="0"/>
    </w:pPr>
    <w:rPr>
      <w:rFonts w:ascii="宋体" w:hAnsiTheme="minorHAnsi" w:eastAsiaTheme="minorEastAsia" w:cstheme="minorBidi"/>
      <w:sz w:val="28"/>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宋体"/>
      <w:b/>
      <w:kern w:val="2"/>
      <w:sz w:val="32"/>
      <w:lang w:val="en-US" w:eastAsia="zh-CN" w:bidi="ar-SA"/>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5">
    <w:name w:val="annotation text"/>
    <w:basedOn w:val="1"/>
    <w:qFormat/>
    <w:uiPriority w:val="0"/>
    <w:pPr>
      <w:jc w:val="left"/>
    </w:pPr>
    <w:rPr>
      <w:rFonts w:eastAsia="方正仿宋_GBK"/>
      <w:sz w:val="32"/>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toc 1"/>
    <w:basedOn w:val="1"/>
    <w:next w:val="1"/>
    <w:qFormat/>
    <w:uiPriority w:val="0"/>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图例"/>
    <w:basedOn w:val="1"/>
    <w:qFormat/>
    <w:uiPriority w:val="0"/>
    <w:pPr>
      <w:spacing w:before="120" w:after="120" w:line="360" w:lineRule="auto"/>
      <w:jc w:val="center"/>
    </w:pPr>
    <w:rPr>
      <w:rFonts w:eastAsia="仿宋_GB2312"/>
      <w:b/>
      <w:sz w:val="24"/>
    </w:rPr>
  </w:style>
  <w:style w:type="paragraph" w:customStyle="1" w:styleId="16">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17">
    <w:name w:val="首行缩进"/>
    <w:basedOn w:val="1"/>
    <w:qFormat/>
    <w:uiPriority w:val="0"/>
    <w:pPr>
      <w:spacing w:line="360" w:lineRule="auto"/>
      <w:ind w:firstLine="420" w:firstLineChars="200"/>
    </w:pPr>
  </w:style>
  <w:style w:type="paragraph" w:customStyle="1" w:styleId="18">
    <w:name w:val="Default"/>
    <w:qFormat/>
    <w:uiPriority w:val="0"/>
    <w:pPr>
      <w:widowControl w:val="0"/>
      <w:autoSpaceDE w:val="0"/>
      <w:autoSpaceDN w:val="0"/>
      <w:adjustRightInd w:val="0"/>
      <w:spacing w:after="160" w:line="278" w:lineRule="auto"/>
    </w:pPr>
    <w:rPr>
      <w:rFonts w:ascii="宋体" w:hAnsi="Calibri" w:eastAsia="宋体" w:cs="Times New Roman"/>
      <w:color w:val="000000"/>
      <w:sz w:val="24"/>
      <w:lang w:val="en-US" w:eastAsia="zh-CN" w:bidi="ar-SA"/>
    </w:rPr>
  </w:style>
  <w:style w:type="paragraph" w:customStyle="1" w:styleId="1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7856</Words>
  <Characters>8064</Characters>
  <Lines>0</Lines>
  <Paragraphs>0</Paragraphs>
  <TotalTime>0</TotalTime>
  <ScaleCrop>false</ScaleCrop>
  <LinksUpToDate>false</LinksUpToDate>
  <CharactersWithSpaces>8390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2026-03-27T18:24:00Z</dcterms:created>
  <dc:creator>user</dc:creator>
  <cp:lastModifiedBy>user</cp:lastModifiedBy>
  <dcterms:modified xsi:type="dcterms:W3CDTF">2026-05-20T01:38:07Z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KSOTemplateDocerSaveRecord">
    <vt:lpwstr>eyJoZGlkIjoiMzdhOGZlOGRjMWEyZmE2NDk0NWU4ZDhkOTNiZWNhZDYiLCJ1c2VySWQiOiIzNjEzODMyNDQifQ==</vt:lpwstr>
  </property>
  <property fmtid="{D5CDD505-2E9C-101B-9397-08002B2CF9AE}" pid="4" name="ICV">
    <vt:lpwstr>B2F86E63ECFF42BAAE4750CA15628F31_13</vt:lpwstr>
  </property>
</Properties>
</file>