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color w:val="auto"/>
          <w:sz w:val="72"/>
          <w:highlight w:val="none"/>
        </w:rPr>
      </w:pPr>
    </w:p>
    <w:p>
      <w:pPr>
        <w:jc w:val="center"/>
        <w:outlineLvl w:val="0"/>
        <w:rPr>
          <w:rFonts w:hint="eastAsia" w:ascii="宋体" w:hAnsi="宋体" w:cs="Arial"/>
          <w:color w:val="auto"/>
          <w:spacing w:val="80"/>
          <w:sz w:val="52"/>
          <w:szCs w:val="52"/>
          <w:highlight w:val="none"/>
        </w:rPr>
      </w:pPr>
      <w:r>
        <w:rPr>
          <w:rFonts w:hint="eastAsia" w:ascii="宋体" w:hAnsi="宋体" w:cs="Arial"/>
          <w:color w:val="auto"/>
          <w:spacing w:val="80"/>
          <w:sz w:val="52"/>
          <w:szCs w:val="52"/>
          <w:highlight w:val="none"/>
          <w:lang w:eastAsia="zh-CN"/>
        </w:rPr>
        <w:t>三峡博物馆互联网宽带服务</w:t>
      </w:r>
      <w:r>
        <w:rPr>
          <w:rFonts w:hint="eastAsia" w:ascii="宋体" w:hAnsi="宋体" w:cs="Arial"/>
          <w:color w:val="auto"/>
          <w:spacing w:val="80"/>
          <w:sz w:val="52"/>
          <w:szCs w:val="52"/>
          <w:highlight w:val="none"/>
        </w:rPr>
        <w:t>询</w:t>
      </w:r>
      <w:r>
        <w:rPr>
          <w:rFonts w:hint="eastAsia" w:ascii="宋体" w:hAnsi="宋体" w:cs="Arial"/>
          <w:color w:val="auto"/>
          <w:spacing w:val="80"/>
          <w:sz w:val="52"/>
          <w:szCs w:val="52"/>
          <w:highlight w:val="none"/>
          <w:lang w:eastAsia="zh-CN"/>
        </w:rPr>
        <w:t>比</w:t>
      </w:r>
      <w:r>
        <w:rPr>
          <w:rFonts w:hint="eastAsia" w:ascii="宋体" w:hAnsi="宋体" w:cs="Arial"/>
          <w:color w:val="auto"/>
          <w:spacing w:val="80"/>
          <w:sz w:val="52"/>
          <w:szCs w:val="52"/>
          <w:highlight w:val="none"/>
        </w:rPr>
        <w:t>文件</w:t>
      </w:r>
    </w:p>
    <w:p>
      <w:pPr>
        <w:spacing w:line="700" w:lineRule="exact"/>
        <w:jc w:val="center"/>
        <w:rPr>
          <w:rFonts w:hint="eastAsia" w:ascii="宋体" w:hAnsi="宋体" w:cs="Arial"/>
          <w:color w:val="auto"/>
          <w:sz w:val="52"/>
          <w:szCs w:val="52"/>
          <w:highlight w:val="none"/>
        </w:rPr>
      </w:pPr>
    </w:p>
    <w:p>
      <w:pPr>
        <w:tabs>
          <w:tab w:val="left" w:pos="2761"/>
          <w:tab w:val="left" w:pos="7352"/>
        </w:tabs>
        <w:spacing w:line="700" w:lineRule="exact"/>
        <w:jc w:val="left"/>
        <w:rPr>
          <w:rFonts w:hint="eastAsia" w:ascii="宋体" w:hAnsi="宋体" w:cs="Arial" w:eastAsiaTheme="minorEastAsia"/>
          <w:color w:val="auto"/>
          <w:sz w:val="32"/>
          <w:highlight w:val="none"/>
          <w:lang w:eastAsia="zh-CN"/>
        </w:rPr>
      </w:pPr>
      <w:r>
        <w:rPr>
          <w:rFonts w:hint="eastAsia" w:ascii="宋体" w:hAnsi="宋体" w:cs="Arial"/>
          <w:color w:val="auto"/>
          <w:sz w:val="32"/>
          <w:highlight w:val="none"/>
          <w:lang w:eastAsia="zh-CN"/>
        </w:rPr>
        <w:tab/>
      </w:r>
      <w:r>
        <w:rPr>
          <w:rFonts w:hint="eastAsia" w:ascii="宋体" w:hAnsi="宋体" w:cs="Arial"/>
          <w:color w:val="auto"/>
          <w:sz w:val="32"/>
          <w:highlight w:val="none"/>
          <w:lang w:eastAsia="zh-CN"/>
        </w:rPr>
        <w:tab/>
      </w:r>
    </w:p>
    <w:p>
      <w:pPr>
        <w:spacing w:line="700" w:lineRule="exact"/>
        <w:jc w:val="center"/>
        <w:rPr>
          <w:rFonts w:hint="eastAsia" w:ascii="宋体" w:hAnsi="宋体" w:cs="Arial"/>
          <w:color w:val="auto"/>
          <w:sz w:val="32"/>
          <w:highlight w:val="none"/>
        </w:rPr>
      </w:pPr>
      <w:bookmarkStart w:id="41" w:name="_GoBack"/>
      <w:bookmarkEnd w:id="41"/>
    </w:p>
    <w:p>
      <w:pPr>
        <w:spacing w:line="700" w:lineRule="exact"/>
        <w:jc w:val="center"/>
        <w:rPr>
          <w:rFonts w:hint="eastAsia" w:ascii="宋体" w:hAnsi="宋体" w:cs="Arial"/>
          <w:color w:val="auto"/>
          <w:sz w:val="32"/>
          <w:highlight w:val="none"/>
        </w:rPr>
      </w:pPr>
    </w:p>
    <w:p>
      <w:pPr>
        <w:spacing w:line="700" w:lineRule="exact"/>
        <w:ind w:firstLine="1916" w:firstLineChars="599"/>
        <w:rPr>
          <w:rFonts w:hint="eastAsia" w:ascii="宋体" w:hAnsi="宋体" w:cs="Arial"/>
          <w:color w:val="auto"/>
          <w:sz w:val="32"/>
          <w:highlight w:val="none"/>
        </w:rPr>
      </w:pPr>
      <w:r>
        <w:rPr>
          <w:rFonts w:hint="eastAsia" w:ascii="宋体" w:hAnsi="宋体" w:cs="Arial"/>
          <w:color w:val="auto"/>
          <w:sz w:val="32"/>
          <w:highlight w:val="none"/>
        </w:rPr>
        <w:t>项目编号：</w:t>
      </w:r>
      <w:r>
        <w:rPr>
          <w:rFonts w:hint="eastAsia" w:ascii="宋体" w:hAnsi="宋体" w:cs="Arial"/>
          <w:color w:val="auto"/>
          <w:sz w:val="32"/>
          <w:highlight w:val="none"/>
        </w:rPr>
        <w:t>内26028</w:t>
      </w:r>
    </w:p>
    <w:p>
      <w:pPr>
        <w:spacing w:line="700" w:lineRule="exact"/>
        <w:ind w:left="3676" w:leftChars="684" w:hanging="2240" w:hangingChars="700"/>
        <w:rPr>
          <w:rFonts w:hint="eastAsia" w:ascii="宋体" w:hAnsi="宋体" w:cs="Arial"/>
          <w:color w:val="auto"/>
          <w:sz w:val="32"/>
          <w:highlight w:val="none"/>
        </w:rPr>
      </w:pPr>
      <w:r>
        <w:rPr>
          <w:rFonts w:hint="eastAsia" w:ascii="宋体" w:hAnsi="宋体" w:cs="Arial"/>
          <w:color w:val="auto"/>
          <w:sz w:val="32"/>
          <w:highlight w:val="none"/>
        </w:rPr>
        <w:t xml:space="preserve">   项目名称：</w:t>
      </w:r>
      <w:r>
        <w:rPr>
          <w:rFonts w:hint="eastAsia" w:ascii="宋体" w:hAnsi="宋体" w:cs="Arial"/>
          <w:color w:val="auto"/>
          <w:sz w:val="32"/>
          <w:highlight w:val="none"/>
          <w:lang w:eastAsia="zh-CN"/>
        </w:rPr>
        <w:t>三峡博物馆互联网宽带服务</w:t>
      </w:r>
      <w:r>
        <w:rPr>
          <w:rFonts w:hint="eastAsia" w:ascii="宋体" w:hAnsi="宋体" w:cs="Arial"/>
          <w:color w:val="auto"/>
          <w:sz w:val="32"/>
          <w:highlight w:val="none"/>
        </w:rPr>
        <w:t xml:space="preserve">   </w:t>
      </w:r>
    </w:p>
    <w:p>
      <w:pPr>
        <w:spacing w:line="700" w:lineRule="exact"/>
        <w:ind w:left="2716" w:leftChars="684" w:hanging="1280" w:hangingChars="400"/>
        <w:rPr>
          <w:rFonts w:hint="eastAsia" w:ascii="宋体" w:hAnsi="宋体" w:cs="Arial"/>
          <w:color w:val="auto"/>
          <w:sz w:val="32"/>
          <w:highlight w:val="none"/>
        </w:rPr>
      </w:pPr>
      <w:r>
        <w:rPr>
          <w:rFonts w:hint="eastAsia" w:ascii="宋体" w:hAnsi="宋体" w:cs="Arial"/>
          <w:color w:val="auto"/>
          <w:sz w:val="32"/>
          <w:highlight w:val="none"/>
          <w:lang w:val="en-US" w:eastAsia="zh-CN"/>
        </w:rPr>
        <w:t xml:space="preserve">   </w:t>
      </w:r>
      <w:r>
        <w:rPr>
          <w:rFonts w:hint="eastAsia" w:ascii="宋体" w:hAnsi="宋体" w:cs="Arial"/>
          <w:color w:val="auto"/>
          <w:sz w:val="32"/>
          <w:highlight w:val="none"/>
        </w:rPr>
        <w:t>采购</w:t>
      </w:r>
      <w:r>
        <w:rPr>
          <w:rFonts w:hint="eastAsia" w:ascii="宋体" w:hAnsi="宋体" w:cs="Arial"/>
          <w:color w:val="auto"/>
          <w:sz w:val="32"/>
          <w:highlight w:val="none"/>
          <w:lang w:eastAsia="zh-CN"/>
        </w:rPr>
        <w:t>单位</w:t>
      </w:r>
      <w:r>
        <w:rPr>
          <w:rFonts w:hint="eastAsia" w:ascii="宋体" w:hAnsi="宋体" w:cs="Arial"/>
          <w:color w:val="auto"/>
          <w:sz w:val="32"/>
          <w:highlight w:val="none"/>
        </w:rPr>
        <w:t>：重庆中国三峡博物馆</w:t>
      </w:r>
    </w:p>
    <w:p>
      <w:pPr>
        <w:spacing w:line="700" w:lineRule="exact"/>
        <w:jc w:val="center"/>
        <w:rPr>
          <w:rFonts w:hint="eastAsia" w:ascii="宋体" w:hAnsi="宋体" w:cs="Arial"/>
          <w:color w:val="auto"/>
          <w:sz w:val="32"/>
          <w:highlight w:val="none"/>
        </w:rPr>
      </w:pPr>
    </w:p>
    <w:p>
      <w:pPr>
        <w:spacing w:line="700" w:lineRule="exact"/>
        <w:jc w:val="both"/>
        <w:rPr>
          <w:rFonts w:hint="eastAsia" w:ascii="宋体" w:hAnsi="宋体" w:cs="Arial"/>
          <w:color w:val="auto"/>
          <w:sz w:val="32"/>
          <w:highlight w:val="none"/>
        </w:rPr>
      </w:pPr>
    </w:p>
    <w:p>
      <w:pPr>
        <w:spacing w:line="700" w:lineRule="exact"/>
        <w:jc w:val="center"/>
        <w:rPr>
          <w:rFonts w:hint="eastAsia" w:ascii="宋体" w:hAnsi="宋体" w:cs="Arial"/>
          <w:color w:val="auto"/>
          <w:sz w:val="32"/>
          <w:highlight w:val="none"/>
        </w:rPr>
      </w:pPr>
    </w:p>
    <w:p>
      <w:pPr>
        <w:spacing w:line="700" w:lineRule="exact"/>
        <w:jc w:val="both"/>
        <w:rPr>
          <w:rFonts w:hint="eastAsia" w:ascii="宋体" w:hAnsi="宋体" w:cs="Arial"/>
          <w:color w:val="auto"/>
          <w:sz w:val="32"/>
          <w:highlight w:val="none"/>
        </w:rPr>
      </w:pPr>
    </w:p>
    <w:p>
      <w:pPr>
        <w:spacing w:line="700" w:lineRule="exact"/>
        <w:jc w:val="both"/>
        <w:rPr>
          <w:rFonts w:hint="eastAsia" w:ascii="宋体" w:hAnsi="宋体" w:cs="Arial"/>
          <w:color w:val="auto"/>
          <w:sz w:val="32"/>
          <w:highlight w:val="none"/>
        </w:rPr>
      </w:pPr>
    </w:p>
    <w:p>
      <w:pPr>
        <w:spacing w:line="700" w:lineRule="exact"/>
        <w:jc w:val="both"/>
        <w:rPr>
          <w:rFonts w:hint="eastAsia" w:ascii="宋体" w:hAnsi="宋体" w:cs="Arial"/>
          <w:color w:val="auto"/>
          <w:sz w:val="32"/>
          <w:highlight w:val="none"/>
        </w:rPr>
      </w:pPr>
    </w:p>
    <w:p>
      <w:pPr>
        <w:spacing w:line="700" w:lineRule="exact"/>
        <w:jc w:val="both"/>
        <w:rPr>
          <w:rFonts w:hint="eastAsia" w:ascii="宋体" w:hAnsi="宋体" w:cs="Arial"/>
          <w:color w:val="auto"/>
          <w:sz w:val="32"/>
          <w:highlight w:val="none"/>
        </w:rPr>
      </w:pPr>
    </w:p>
    <w:p>
      <w:pPr>
        <w:spacing w:line="700" w:lineRule="exact"/>
        <w:jc w:val="center"/>
        <w:rPr>
          <w:rFonts w:hint="eastAsia" w:ascii="宋体" w:hAnsi="宋体" w:cs="Arial"/>
          <w:color w:val="auto"/>
          <w:sz w:val="32"/>
          <w:highlight w:val="none"/>
        </w:rPr>
      </w:pPr>
      <w:r>
        <w:rPr>
          <w:rFonts w:hint="eastAsia" w:ascii="宋体" w:hAnsi="宋体" w:cs="Arial"/>
          <w:color w:val="auto"/>
          <w:sz w:val="32"/>
          <w:highlight w:val="none"/>
        </w:rPr>
        <w:t>重庆中国三峡博物馆制</w:t>
      </w:r>
    </w:p>
    <w:p>
      <w:pPr>
        <w:spacing w:line="700" w:lineRule="exact"/>
        <w:jc w:val="center"/>
        <w:outlineLvl w:val="0"/>
        <w:rPr>
          <w:rFonts w:hint="eastAsia" w:ascii="宋体" w:hAnsi="宋体" w:eastAsia="宋体" w:cs="Arial"/>
          <w:color w:val="auto"/>
          <w:sz w:val="36"/>
          <w:highlight w:val="none"/>
        </w:rPr>
      </w:pPr>
      <w:r>
        <w:rPr>
          <w:rFonts w:hint="eastAsia" w:ascii="宋体" w:hAnsi="宋体" w:cs="Arial"/>
          <w:color w:val="auto"/>
          <w:sz w:val="32"/>
          <w:highlight w:val="none"/>
          <w:lang w:val="en-US" w:eastAsia="zh-CN"/>
        </w:rPr>
        <w:t xml:space="preserve"> 2026</w:t>
      </w:r>
      <w:r>
        <w:rPr>
          <w:rFonts w:hint="eastAsia" w:ascii="宋体" w:hAnsi="宋体" w:cs="Arial"/>
          <w:color w:val="auto"/>
          <w:sz w:val="32"/>
          <w:highlight w:val="none"/>
        </w:rPr>
        <w:t>年</w:t>
      </w:r>
      <w:r>
        <w:rPr>
          <w:rFonts w:hint="eastAsia" w:ascii="宋体" w:hAnsi="宋体" w:cs="Arial"/>
          <w:color w:val="auto"/>
          <w:sz w:val="32"/>
          <w:highlight w:val="none"/>
          <w:lang w:val="en-US" w:eastAsia="zh-CN"/>
        </w:rPr>
        <w:t>3</w:t>
      </w:r>
      <w:r>
        <w:rPr>
          <w:rFonts w:hint="eastAsia" w:ascii="宋体" w:hAnsi="宋体" w:cs="Arial"/>
          <w:color w:val="auto"/>
          <w:sz w:val="32"/>
          <w:highlight w:val="none"/>
        </w:rPr>
        <w:t>月</w:t>
      </w:r>
      <w:bookmarkStart w:id="0" w:name="_Toc11641050"/>
      <w:bookmarkStart w:id="1" w:name="_Toc372538149"/>
      <w:bookmarkStart w:id="2" w:name="_Toc25725118"/>
    </w:p>
    <w:p>
      <w:pPr>
        <w:spacing w:line="700" w:lineRule="exact"/>
        <w:jc w:val="center"/>
        <w:outlineLvl w:val="0"/>
        <w:rPr>
          <w:rStyle w:val="11"/>
          <w:rFonts w:hint="eastAsia" w:ascii="Arial" w:hAnsi="Arial" w:eastAsia="黑体" w:cstheme="minorBidi"/>
          <w:b/>
          <w:color w:val="auto"/>
          <w:kern w:val="2"/>
          <w:sz w:val="32"/>
          <w:szCs w:val="22"/>
          <w:highlight w:val="none"/>
          <w:lang w:val="en-US" w:eastAsia="zh-CN" w:bidi="ar-SA"/>
        </w:rPr>
      </w:pPr>
      <w:r>
        <w:rPr>
          <w:rStyle w:val="11"/>
          <w:rFonts w:hint="eastAsia" w:ascii="Arial" w:hAnsi="Arial" w:eastAsia="黑体" w:cstheme="minorBidi"/>
          <w:b/>
          <w:color w:val="auto"/>
          <w:kern w:val="2"/>
          <w:sz w:val="32"/>
          <w:szCs w:val="22"/>
          <w:highlight w:val="none"/>
          <w:lang w:val="en-US" w:eastAsia="zh-CN" w:bidi="ar-SA"/>
        </w:rPr>
        <w:t xml:space="preserve">第一篇  </w:t>
      </w:r>
      <w:bookmarkEnd w:id="0"/>
      <w:r>
        <w:rPr>
          <w:rStyle w:val="11"/>
          <w:rFonts w:hint="eastAsia" w:ascii="Arial" w:hAnsi="Arial" w:eastAsia="黑体" w:cstheme="minorBidi"/>
          <w:b/>
          <w:color w:val="auto"/>
          <w:kern w:val="2"/>
          <w:sz w:val="32"/>
          <w:szCs w:val="22"/>
          <w:highlight w:val="none"/>
          <w:lang w:val="en-US" w:eastAsia="zh-CN" w:bidi="ar-SA"/>
        </w:rPr>
        <w:t>邀请书</w:t>
      </w:r>
      <w:bookmarkEnd w:id="1"/>
      <w:bookmarkEnd w:id="2"/>
    </w:p>
    <w:p>
      <w:pPr>
        <w:spacing w:line="312" w:lineRule="auto"/>
        <w:ind w:firstLine="480" w:firstLineChars="200"/>
        <w:rPr>
          <w:rFonts w:hint="eastAsia" w:ascii="宋体" w:hAnsi="宋体" w:cs="Arial"/>
          <w:color w:val="auto"/>
          <w:sz w:val="24"/>
          <w:szCs w:val="24"/>
          <w:highlight w:val="none"/>
        </w:rPr>
      </w:pPr>
    </w:p>
    <w:p>
      <w:pPr>
        <w:spacing w:line="312" w:lineRule="auto"/>
        <w:ind w:firstLine="480" w:firstLineChars="200"/>
        <w:rPr>
          <w:rFonts w:hint="eastAsia" w:ascii="宋体" w:hAnsi="宋体" w:cs="Arial"/>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我单位现就</w:t>
      </w:r>
      <w:r>
        <w:rPr>
          <w:rFonts w:hint="eastAsia" w:asciiTheme="minorEastAsia" w:hAnsiTheme="minorEastAsia" w:cstheme="minorEastAsia"/>
          <w:color w:val="auto"/>
          <w:sz w:val="24"/>
          <w:szCs w:val="24"/>
          <w:highlight w:val="none"/>
          <w:u w:val="single"/>
          <w:lang w:eastAsia="zh-CN"/>
        </w:rPr>
        <w:t>三峡博物馆互联网宽带服务</w:t>
      </w:r>
      <w:r>
        <w:rPr>
          <w:rFonts w:hint="eastAsia" w:asciiTheme="minorEastAsia" w:hAnsiTheme="minorEastAsia" w:eastAsiaTheme="minorEastAsia" w:cstheme="minorEastAsia"/>
          <w:color w:val="auto"/>
          <w:sz w:val="24"/>
          <w:szCs w:val="24"/>
          <w:highlight w:val="none"/>
        </w:rPr>
        <w:t>项目进行询</w:t>
      </w:r>
      <w:r>
        <w:rPr>
          <w:rFonts w:hint="eastAsia" w:asciiTheme="minorEastAsia" w:hAnsiTheme="minorEastAsia" w:eastAsiaTheme="minorEastAsia" w:cstheme="minorEastAsia"/>
          <w:color w:val="auto"/>
          <w:sz w:val="24"/>
          <w:szCs w:val="24"/>
          <w:highlight w:val="none"/>
          <w:lang w:eastAsia="zh-CN"/>
        </w:rPr>
        <w:t>比</w:t>
      </w:r>
      <w:r>
        <w:rPr>
          <w:rFonts w:hint="eastAsia" w:asciiTheme="minorEastAsia" w:hAnsiTheme="minorEastAsia" w:eastAsiaTheme="minorEastAsia" w:cstheme="minorEastAsia"/>
          <w:color w:val="auto"/>
          <w:sz w:val="24"/>
          <w:szCs w:val="24"/>
          <w:highlight w:val="none"/>
        </w:rPr>
        <w:t>采购，凡有意参加询比的供应商，请于公告发布之日起至报名截止时间之前，在</w:t>
      </w:r>
      <w:r>
        <w:rPr>
          <w:rFonts w:hint="eastAsia" w:asciiTheme="minorEastAsia" w:hAnsiTheme="minorEastAsia" w:cstheme="minorEastAsia"/>
          <w:color w:val="auto"/>
          <w:sz w:val="24"/>
          <w:szCs w:val="24"/>
          <w:highlight w:val="none"/>
          <w:lang w:val="en-US" w:eastAsia="zh-CN"/>
        </w:rPr>
        <w:t>重庆中国三峡博物馆官网</w:t>
      </w:r>
      <w:r>
        <w:rPr>
          <w:rFonts w:hint="eastAsia" w:asciiTheme="minorEastAsia" w:hAnsiTheme="minorEastAsia" w:eastAsiaTheme="minorEastAsia" w:cstheme="minorEastAsia"/>
          <w:color w:val="auto"/>
          <w:sz w:val="24"/>
          <w:szCs w:val="24"/>
          <w:highlight w:val="none"/>
        </w:rPr>
        <w:t>上下载查看本项目需求文件以及变更公告等询比前公布的所有项目资料，无论供应商下载查看与否，均视为已知晓所有询比实质性要求内容。</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本项目编号：</w:t>
      </w:r>
      <w:r>
        <w:rPr>
          <w:rFonts w:hint="eastAsia" w:asciiTheme="minorEastAsia" w:hAnsiTheme="minorEastAsia" w:eastAsiaTheme="minorEastAsia" w:cstheme="minorEastAsia"/>
          <w:color w:val="auto"/>
          <w:sz w:val="24"/>
          <w:szCs w:val="24"/>
          <w:highlight w:val="none"/>
        </w:rPr>
        <w:t>内26028</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联系办法：</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采购联系人：李先生，电话，（023）63679109 ，13452915399；</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项目联系人：刘先生，电话：02363679177，15922519263。</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highlight w:val="none"/>
        </w:rPr>
      </w:pPr>
    </w:p>
    <w:p>
      <w:pPr>
        <w:numPr>
          <w:ilvl w:val="0"/>
          <w:numId w:val="0"/>
        </w:numPr>
        <w:snapToGrid w:val="0"/>
        <w:spacing w:line="560" w:lineRule="atLeast"/>
        <w:ind w:left="567" w:leftChars="0"/>
        <w:rPr>
          <w:rFonts w:hint="eastAsia" w:ascii="宋体" w:hAnsi="宋体" w:cs="Arial"/>
          <w:color w:val="auto"/>
          <w:sz w:val="24"/>
          <w:szCs w:val="24"/>
          <w:highlight w:val="none"/>
          <w:lang w:eastAsia="zh-CN"/>
        </w:rPr>
      </w:pPr>
    </w:p>
    <w:p>
      <w:pPr>
        <w:snapToGrid w:val="0"/>
        <w:spacing w:line="560" w:lineRule="atLeast"/>
        <w:rPr>
          <w:rFonts w:hint="eastAsia" w:ascii="宋体" w:hAnsi="宋体" w:cs="Arial"/>
          <w:color w:val="auto"/>
          <w:sz w:val="24"/>
          <w:szCs w:val="24"/>
          <w:highlight w:val="none"/>
        </w:rPr>
      </w:pPr>
      <w:r>
        <w:rPr>
          <w:rFonts w:hint="eastAsia" w:ascii="宋体" w:hAnsi="宋体" w:cs="Arial"/>
          <w:color w:val="auto"/>
          <w:sz w:val="24"/>
          <w:szCs w:val="24"/>
          <w:highlight w:val="none"/>
        </w:rPr>
        <w:t xml:space="preserve">    </w:t>
      </w:r>
    </w:p>
    <w:p>
      <w:pPr>
        <w:pStyle w:val="4"/>
        <w:jc w:val="center"/>
        <w:rPr>
          <w:rFonts w:hint="eastAsia" w:ascii="宋体" w:hAnsi="宋体" w:eastAsia="宋体" w:cs="Arial"/>
          <w:color w:val="auto"/>
          <w:sz w:val="36"/>
          <w:highlight w:val="none"/>
        </w:rPr>
      </w:pPr>
      <w:r>
        <w:rPr>
          <w:rFonts w:hint="eastAsia" w:ascii="宋体" w:hAnsi="宋体" w:eastAsia="宋体" w:cs="Arial"/>
          <w:b w:val="0"/>
          <w:color w:val="auto"/>
          <w:sz w:val="28"/>
          <w:highlight w:val="none"/>
        </w:rPr>
        <w:br w:type="page"/>
      </w:r>
      <w:bookmarkStart w:id="3" w:name="_Toc372538150"/>
      <w:r>
        <w:rPr>
          <w:rStyle w:val="11"/>
          <w:rFonts w:hint="eastAsia" w:ascii="Arial" w:hAnsi="Arial" w:eastAsia="黑体" w:cstheme="minorBidi"/>
          <w:b/>
          <w:color w:val="auto"/>
          <w:kern w:val="2"/>
          <w:sz w:val="32"/>
          <w:szCs w:val="22"/>
          <w:highlight w:val="none"/>
          <w:lang w:val="en-US" w:eastAsia="zh-CN" w:bidi="ar-SA"/>
        </w:rPr>
        <w:t>第二篇  投标须知</w:t>
      </w:r>
      <w:bookmarkEnd w:id="3"/>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rPr>
      </w:pPr>
      <w:bookmarkStart w:id="4" w:name="_Toc372538151"/>
      <w:r>
        <w:rPr>
          <w:rStyle w:val="11"/>
          <w:rFonts w:hint="eastAsia"/>
          <w:color w:val="auto"/>
          <w:highlight w:val="none"/>
        </w:rPr>
        <w:t>一、询</w:t>
      </w:r>
      <w:r>
        <w:rPr>
          <w:rStyle w:val="11"/>
          <w:rFonts w:hint="eastAsia"/>
          <w:color w:val="auto"/>
          <w:highlight w:val="none"/>
          <w:lang w:val="en-US" w:eastAsia="zh-CN"/>
        </w:rPr>
        <w:t>比</w:t>
      </w:r>
      <w:r>
        <w:rPr>
          <w:rStyle w:val="11"/>
          <w:rFonts w:hint="eastAsia"/>
          <w:color w:val="auto"/>
          <w:highlight w:val="none"/>
        </w:rPr>
        <w:t>费用</w:t>
      </w:r>
      <w:bookmarkEnd w:id="4"/>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参与</w:t>
      </w:r>
      <w:r>
        <w:rPr>
          <w:rFonts w:hint="eastAsia" w:asciiTheme="minorEastAsia" w:hAnsiTheme="minorEastAsia" w:eastAsiaTheme="minorEastAsia" w:cstheme="minorEastAsia"/>
          <w:color w:val="auto"/>
          <w:sz w:val="24"/>
          <w:szCs w:val="24"/>
          <w:highlight w:val="none"/>
          <w:lang w:eastAsia="zh-CN"/>
        </w:rPr>
        <w:t>投</w:t>
      </w:r>
      <w:r>
        <w:rPr>
          <w:rFonts w:hint="eastAsia" w:asciiTheme="minorEastAsia" w:hAnsiTheme="minorEastAsia" w:eastAsiaTheme="minorEastAsia" w:cstheme="minorEastAsia"/>
          <w:color w:val="auto"/>
          <w:sz w:val="24"/>
          <w:szCs w:val="24"/>
          <w:highlight w:val="none"/>
        </w:rPr>
        <w:t>标的供应商应承担其编制</w:t>
      </w:r>
      <w:r>
        <w:rPr>
          <w:rFonts w:hint="eastAsia" w:asciiTheme="minorEastAsia" w:hAnsiTheme="minorEastAsia" w:eastAsiaTheme="minorEastAsia" w:cstheme="minorEastAsia"/>
          <w:color w:val="auto"/>
          <w:sz w:val="24"/>
          <w:szCs w:val="24"/>
          <w:highlight w:val="none"/>
          <w:lang w:eastAsia="zh-CN"/>
        </w:rPr>
        <w:t>投</w:t>
      </w:r>
      <w:r>
        <w:rPr>
          <w:rFonts w:hint="eastAsia" w:asciiTheme="minorEastAsia" w:hAnsiTheme="minorEastAsia" w:eastAsiaTheme="minorEastAsia" w:cstheme="minorEastAsia"/>
          <w:color w:val="auto"/>
          <w:sz w:val="24"/>
          <w:szCs w:val="24"/>
          <w:highlight w:val="none"/>
        </w:rPr>
        <w:t>标文件与递交</w:t>
      </w:r>
      <w:r>
        <w:rPr>
          <w:rFonts w:hint="eastAsia" w:asciiTheme="minorEastAsia" w:hAnsiTheme="minorEastAsia" w:eastAsiaTheme="minorEastAsia" w:cstheme="minorEastAsia"/>
          <w:color w:val="auto"/>
          <w:sz w:val="24"/>
          <w:szCs w:val="24"/>
          <w:highlight w:val="none"/>
          <w:lang w:eastAsia="zh-CN"/>
        </w:rPr>
        <w:t>投</w:t>
      </w:r>
      <w:r>
        <w:rPr>
          <w:rFonts w:hint="eastAsia" w:asciiTheme="minorEastAsia" w:hAnsiTheme="minorEastAsia" w:eastAsiaTheme="minorEastAsia" w:cstheme="minorEastAsia"/>
          <w:color w:val="auto"/>
          <w:sz w:val="24"/>
          <w:szCs w:val="24"/>
          <w:highlight w:val="none"/>
        </w:rPr>
        <w:t>标文件所涉及的一切费用，不论采购结果如何，采购</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在任何情况下无义务也无责任承担这些费用。</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rPr>
      </w:pPr>
      <w:bookmarkStart w:id="5" w:name="_Toc372538152"/>
      <w:r>
        <w:rPr>
          <w:rStyle w:val="11"/>
          <w:rFonts w:hint="eastAsia"/>
          <w:color w:val="auto"/>
          <w:highlight w:val="none"/>
        </w:rPr>
        <w:t>二、</w:t>
      </w:r>
      <w:r>
        <w:rPr>
          <w:rStyle w:val="11"/>
          <w:rFonts w:hint="eastAsia"/>
          <w:color w:val="auto"/>
          <w:highlight w:val="none"/>
          <w:lang w:eastAsia="zh-CN"/>
        </w:rPr>
        <w:t>投</w:t>
      </w:r>
      <w:r>
        <w:rPr>
          <w:rStyle w:val="11"/>
          <w:rFonts w:hint="eastAsia"/>
          <w:color w:val="auto"/>
          <w:highlight w:val="none"/>
        </w:rPr>
        <w:t>标</w:t>
      </w:r>
      <w:r>
        <w:rPr>
          <w:rStyle w:val="11"/>
          <w:rFonts w:hint="eastAsia"/>
          <w:color w:val="auto"/>
          <w:highlight w:val="none"/>
          <w:lang w:eastAsia="zh-CN"/>
        </w:rPr>
        <w:t>单位</w:t>
      </w:r>
      <w:r>
        <w:rPr>
          <w:rStyle w:val="11"/>
          <w:rFonts w:hint="eastAsia"/>
          <w:color w:val="auto"/>
          <w:highlight w:val="none"/>
        </w:rPr>
        <w:t>资质</w:t>
      </w:r>
      <w:bookmarkEnd w:id="5"/>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参与</w:t>
      </w:r>
      <w:r>
        <w:rPr>
          <w:rFonts w:hint="eastAsia" w:asciiTheme="minorEastAsia" w:hAnsiTheme="minorEastAsia" w:eastAsiaTheme="minorEastAsia" w:cstheme="minorEastAsia"/>
          <w:color w:val="auto"/>
          <w:sz w:val="24"/>
          <w:szCs w:val="24"/>
          <w:highlight w:val="none"/>
          <w:lang w:eastAsia="zh-CN"/>
        </w:rPr>
        <w:t>投</w:t>
      </w:r>
      <w:r>
        <w:rPr>
          <w:rFonts w:hint="eastAsia" w:asciiTheme="minorEastAsia" w:hAnsiTheme="minorEastAsia" w:eastAsiaTheme="minorEastAsia" w:cstheme="minorEastAsia"/>
          <w:color w:val="auto"/>
          <w:sz w:val="24"/>
          <w:szCs w:val="24"/>
          <w:highlight w:val="none"/>
        </w:rPr>
        <w:t>标的供应商是指向采购</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提供货物、工程或者服务的法人、其他组织或者自然人，简称供应商或</w:t>
      </w:r>
      <w:r>
        <w:rPr>
          <w:rFonts w:hint="eastAsia" w:asciiTheme="minorEastAsia" w:hAnsiTheme="minorEastAsia" w:eastAsiaTheme="minorEastAsia" w:cstheme="minorEastAsia"/>
          <w:color w:val="auto"/>
          <w:sz w:val="24"/>
          <w:szCs w:val="24"/>
          <w:highlight w:val="none"/>
          <w:lang w:eastAsia="zh-CN"/>
        </w:rPr>
        <w:t>投</w:t>
      </w:r>
      <w:r>
        <w:rPr>
          <w:rFonts w:hint="eastAsia" w:asciiTheme="minorEastAsia" w:hAnsiTheme="minorEastAsia" w:eastAsiaTheme="minorEastAsia" w:cstheme="minorEastAsia"/>
          <w:color w:val="auto"/>
          <w:sz w:val="24"/>
          <w:szCs w:val="24"/>
          <w:highlight w:val="none"/>
        </w:rPr>
        <w:t>标</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合格的</w:t>
      </w:r>
      <w:r>
        <w:rPr>
          <w:rFonts w:hint="eastAsia" w:asciiTheme="minorEastAsia" w:hAnsiTheme="minorEastAsia" w:eastAsiaTheme="minorEastAsia" w:cstheme="minorEastAsia"/>
          <w:color w:val="auto"/>
          <w:sz w:val="24"/>
          <w:szCs w:val="24"/>
          <w:highlight w:val="none"/>
          <w:lang w:eastAsia="zh-CN"/>
        </w:rPr>
        <w:t>投</w:t>
      </w:r>
      <w:r>
        <w:rPr>
          <w:rFonts w:hint="eastAsia" w:asciiTheme="minorEastAsia" w:hAnsiTheme="minorEastAsia" w:eastAsiaTheme="minorEastAsia" w:cstheme="minorEastAsia"/>
          <w:color w:val="auto"/>
          <w:sz w:val="24"/>
          <w:szCs w:val="24"/>
          <w:highlight w:val="none"/>
        </w:rPr>
        <w:t>标</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应符合下列资格条件：</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r>
        <w:rPr>
          <w:rFonts w:hint="eastAsia" w:ascii="宋体" w:hAnsi="宋体" w:cs="宋体"/>
          <w:color w:val="auto"/>
          <w:sz w:val="24"/>
          <w:szCs w:val="24"/>
          <w:highlight w:val="none"/>
          <w:lang w:val="en-US" w:eastAsia="zh-CN"/>
        </w:rPr>
        <w:t>（a、供应商法人营业执照（副本）或事业单位法人证书（副本）或个体工商户营业执照或有效的自然人身份证明、组织机构代码证复印件； b.供应商法定代表人身份证明和法定代表人授权代表委托书。注：银行、保险、石油石化、电力、通信等有行业特殊情况的，允许其分公司参与本项目采购活动，其响应文件中法定代表人相关事项可由负责人代替。）</w:t>
      </w:r>
      <w:r>
        <w:rPr>
          <w:rFonts w:hint="eastAsia" w:asciiTheme="minorEastAsia" w:hAnsiTheme="minorEastAsia" w:eastAsiaTheme="minorEastAsia" w:cstheme="minorEastAsia"/>
          <w:color w:val="auto"/>
          <w:sz w:val="24"/>
          <w:szCs w:val="24"/>
          <w:highlight w:val="none"/>
        </w:rPr>
        <w:t>；</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3、具有履行合同所必须的设备和专业技术能力；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4、有依法缴纳税收的良好记录；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5、参加政府采购活动近三年内，在经营活动中没有重大违法记录；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6、法律、行政法规规定的其他条件</w:t>
      </w:r>
      <w:r>
        <w:rPr>
          <w:rFonts w:hint="eastAsia" w:asciiTheme="minorEastAsia" w:hAnsiTheme="minorEastAsia" w:cstheme="minorEastAsia"/>
          <w:color w:val="auto"/>
          <w:sz w:val="24"/>
          <w:szCs w:val="24"/>
          <w:highlight w:val="none"/>
          <w:lang w:eastAsia="zh-CN"/>
        </w:rPr>
        <w:t>。</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eastAsia="zh-CN"/>
        </w:rPr>
      </w:pPr>
      <w:r>
        <w:rPr>
          <w:rStyle w:val="11"/>
          <w:rFonts w:hint="eastAsia"/>
          <w:color w:val="auto"/>
          <w:highlight w:val="none"/>
          <w:lang w:val="en-US" w:eastAsia="zh-CN"/>
        </w:rPr>
        <w:t>三、</w:t>
      </w:r>
      <w:r>
        <w:rPr>
          <w:rStyle w:val="11"/>
          <w:rFonts w:hint="eastAsia"/>
          <w:color w:val="auto"/>
          <w:highlight w:val="none"/>
          <w:lang w:eastAsia="zh-CN"/>
        </w:rPr>
        <w:t>现场踏勘</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自行踏勘</w:t>
      </w:r>
      <w:r>
        <w:rPr>
          <w:rFonts w:hint="eastAsia" w:asciiTheme="minorEastAsia" w:hAnsiTheme="minorEastAsia" w:eastAsiaTheme="minorEastAsia" w:cstheme="minorEastAsia"/>
          <w:color w:val="auto"/>
          <w:sz w:val="24"/>
          <w:szCs w:val="24"/>
          <w:highlight w:val="none"/>
          <w:lang w:val="en-US" w:eastAsia="zh-CN"/>
        </w:rPr>
        <w:t>。</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eastAsia="zh-CN"/>
        </w:rPr>
      </w:pPr>
      <w:bookmarkStart w:id="6" w:name="_Toc179714296"/>
      <w:bookmarkStart w:id="7" w:name="_Toc187655629"/>
      <w:bookmarkStart w:id="8" w:name="_Toc372538153"/>
      <w:bookmarkStart w:id="9" w:name="_Toc102227317"/>
      <w:r>
        <w:rPr>
          <w:rStyle w:val="11"/>
          <w:rFonts w:hint="eastAsia"/>
          <w:color w:val="auto"/>
          <w:highlight w:val="none"/>
          <w:lang w:eastAsia="zh-CN"/>
        </w:rPr>
        <w:t>四、询比采购文件</w:t>
      </w:r>
      <w:bookmarkEnd w:id="6"/>
      <w:bookmarkEnd w:id="7"/>
      <w:bookmarkEnd w:id="8"/>
      <w:bookmarkEnd w:id="9"/>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1、询</w:t>
      </w:r>
      <w:r>
        <w:rPr>
          <w:rFonts w:hint="eastAsia" w:asciiTheme="minorEastAsia" w:hAnsiTheme="minorEastAsia" w:eastAsiaTheme="minorEastAsia" w:cstheme="minorEastAsia"/>
          <w:color w:val="auto"/>
          <w:sz w:val="24"/>
          <w:szCs w:val="24"/>
          <w:highlight w:val="none"/>
          <w:lang w:eastAsia="zh-CN"/>
        </w:rPr>
        <w:t>比</w:t>
      </w:r>
      <w:r>
        <w:rPr>
          <w:rFonts w:hint="eastAsia" w:asciiTheme="minorEastAsia" w:hAnsiTheme="minorEastAsia" w:eastAsiaTheme="minorEastAsia" w:cstheme="minorEastAsia"/>
          <w:color w:val="auto"/>
          <w:sz w:val="24"/>
          <w:szCs w:val="24"/>
          <w:highlight w:val="none"/>
        </w:rPr>
        <w:t>文件由邀请书、</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须知、采购项目技术要求、商务要求</w:t>
      </w:r>
      <w:r>
        <w:rPr>
          <w:rFonts w:hint="eastAsia" w:asciiTheme="minorEastAsia" w:hAnsiTheme="minorEastAsia" w:eastAsiaTheme="minorEastAsia" w:cstheme="minorEastAsia"/>
          <w:color w:val="auto"/>
          <w:sz w:val="24"/>
          <w:szCs w:val="24"/>
          <w:highlight w:val="none"/>
          <w:lang w:eastAsia="zh-CN"/>
        </w:rPr>
        <w:t>、合同关键条款</w:t>
      </w:r>
      <w:r>
        <w:rPr>
          <w:rFonts w:hint="eastAsia" w:asciiTheme="minorEastAsia" w:hAnsiTheme="minorEastAsia" w:eastAsiaTheme="minorEastAsia" w:cstheme="minorEastAsia"/>
          <w:color w:val="auto"/>
          <w:sz w:val="24"/>
          <w:szCs w:val="24"/>
          <w:highlight w:val="none"/>
        </w:rPr>
        <w:t>和供应商编制响应文件要求六部分组成。</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采购单位</w:t>
      </w:r>
      <w:r>
        <w:rPr>
          <w:rFonts w:hint="eastAsia" w:asciiTheme="minorEastAsia" w:hAnsiTheme="minorEastAsia" w:eastAsiaTheme="minorEastAsia" w:cstheme="minorEastAsia"/>
          <w:color w:val="auto"/>
          <w:sz w:val="24"/>
          <w:szCs w:val="24"/>
          <w:highlight w:val="none"/>
        </w:rPr>
        <w:t>所作的一切有效的</w:t>
      </w:r>
      <w:r>
        <w:rPr>
          <w:rFonts w:hint="eastAsia" w:asciiTheme="minorEastAsia" w:hAnsiTheme="minorEastAsia" w:eastAsiaTheme="minorEastAsia" w:cstheme="minorEastAsia"/>
          <w:color w:val="auto"/>
          <w:sz w:val="24"/>
          <w:szCs w:val="24"/>
          <w:highlight w:val="none"/>
          <w:lang w:eastAsia="zh-CN"/>
        </w:rPr>
        <w:t>公告、</w:t>
      </w:r>
      <w:r>
        <w:rPr>
          <w:rFonts w:hint="eastAsia" w:asciiTheme="minorEastAsia" w:hAnsiTheme="minorEastAsia" w:eastAsiaTheme="minorEastAsia" w:cstheme="minorEastAsia"/>
          <w:color w:val="auto"/>
          <w:sz w:val="24"/>
          <w:szCs w:val="24"/>
          <w:highlight w:val="none"/>
        </w:rPr>
        <w:t>书面通知、修改及补充，都是询</w:t>
      </w:r>
      <w:r>
        <w:rPr>
          <w:rFonts w:hint="eastAsia" w:asciiTheme="minorEastAsia" w:hAnsiTheme="minorEastAsia" w:eastAsiaTheme="minorEastAsia" w:cstheme="minorEastAsia"/>
          <w:color w:val="auto"/>
          <w:sz w:val="24"/>
          <w:szCs w:val="24"/>
          <w:highlight w:val="none"/>
          <w:lang w:eastAsia="zh-CN"/>
        </w:rPr>
        <w:t>比</w:t>
      </w:r>
      <w:r>
        <w:rPr>
          <w:rFonts w:hint="eastAsia" w:asciiTheme="minorEastAsia" w:hAnsiTheme="minorEastAsia" w:eastAsiaTheme="minorEastAsia" w:cstheme="minorEastAsia"/>
          <w:color w:val="auto"/>
          <w:sz w:val="24"/>
          <w:szCs w:val="24"/>
          <w:highlight w:val="none"/>
        </w:rPr>
        <w:t>文件不可分割的部分。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3、采购文件的解释</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w:t>
      </w:r>
      <w:r>
        <w:rPr>
          <w:rFonts w:hint="eastAsia" w:asciiTheme="minorEastAsia" w:hAnsiTheme="minorEastAsia" w:eastAsiaTheme="minorEastAsia" w:cstheme="minorEastAsia"/>
          <w:color w:val="auto"/>
          <w:sz w:val="24"/>
          <w:szCs w:val="24"/>
          <w:highlight w:val="none"/>
        </w:rPr>
        <w:t>标</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如对询</w:t>
      </w:r>
      <w:r>
        <w:rPr>
          <w:rFonts w:hint="eastAsia" w:asciiTheme="minorEastAsia" w:hAnsiTheme="minorEastAsia" w:eastAsiaTheme="minorEastAsia" w:cstheme="minorEastAsia"/>
          <w:color w:val="auto"/>
          <w:sz w:val="24"/>
          <w:szCs w:val="24"/>
          <w:highlight w:val="none"/>
          <w:lang w:eastAsia="zh-CN"/>
        </w:rPr>
        <w:t>比</w:t>
      </w:r>
      <w:r>
        <w:rPr>
          <w:rFonts w:hint="eastAsia" w:asciiTheme="minorEastAsia" w:hAnsiTheme="minorEastAsia" w:eastAsiaTheme="minorEastAsia" w:cstheme="minorEastAsia"/>
          <w:color w:val="auto"/>
          <w:sz w:val="24"/>
          <w:szCs w:val="24"/>
          <w:highlight w:val="none"/>
        </w:rPr>
        <w:t>文件有疑问，必须以书面形式在</w:t>
      </w:r>
      <w:r>
        <w:rPr>
          <w:rFonts w:hint="eastAsia" w:asciiTheme="minorEastAsia" w:hAnsiTheme="minorEastAsia" w:eastAsiaTheme="minorEastAsia" w:cstheme="minorEastAsia"/>
          <w:color w:val="auto"/>
          <w:sz w:val="24"/>
          <w:szCs w:val="24"/>
          <w:highlight w:val="none"/>
          <w:lang w:eastAsia="zh-CN"/>
        </w:rPr>
        <w:t>递交投标文件</w:t>
      </w:r>
      <w:r>
        <w:rPr>
          <w:rFonts w:hint="eastAsia" w:asciiTheme="minorEastAsia" w:hAnsiTheme="minorEastAsia" w:eastAsiaTheme="minorEastAsia" w:cstheme="minorEastAsia"/>
          <w:color w:val="auto"/>
          <w:sz w:val="24"/>
          <w:szCs w:val="24"/>
          <w:highlight w:val="none"/>
        </w:rPr>
        <w:t>截止时间一个工作日前向采购</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要求澄清，采购</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可视具体情况做出处理或答复</w:t>
      </w:r>
      <w:r>
        <w:rPr>
          <w:rFonts w:hint="eastAsia" w:asciiTheme="minorEastAsia" w:hAnsiTheme="minorEastAsia" w:eastAsiaTheme="minorEastAsia" w:cstheme="minorEastAsia"/>
          <w:color w:val="auto"/>
          <w:sz w:val="24"/>
          <w:szCs w:val="24"/>
          <w:highlight w:val="none"/>
          <w:lang w:eastAsia="zh-CN"/>
        </w:rPr>
        <w:t>，处理或者答复发布在</w:t>
      </w:r>
      <w:r>
        <w:rPr>
          <w:rFonts w:hint="eastAsia" w:asciiTheme="minorEastAsia" w:hAnsiTheme="minorEastAsia" w:cstheme="minorEastAsia"/>
          <w:color w:val="auto"/>
          <w:sz w:val="24"/>
          <w:szCs w:val="24"/>
          <w:highlight w:val="none"/>
          <w:lang w:val="en-US" w:eastAsia="zh-CN"/>
        </w:rPr>
        <w:t>重庆中国三峡博物馆官网</w:t>
      </w:r>
      <w:r>
        <w:rPr>
          <w:rFonts w:hint="eastAsia" w:asciiTheme="minorEastAsia" w:hAnsiTheme="minorEastAsia" w:eastAsiaTheme="minorEastAsia" w:cstheme="minorEastAsia"/>
          <w:color w:val="auto"/>
          <w:sz w:val="24"/>
          <w:szCs w:val="24"/>
          <w:highlight w:val="none"/>
          <w:lang w:eastAsia="zh-CN"/>
        </w:rPr>
        <w:t>上。</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投</w:t>
      </w:r>
      <w:r>
        <w:rPr>
          <w:rFonts w:hint="eastAsia" w:asciiTheme="minorEastAsia" w:hAnsiTheme="minorEastAsia" w:eastAsiaTheme="minorEastAsia" w:cstheme="minorEastAsia"/>
          <w:color w:val="auto"/>
          <w:sz w:val="24"/>
          <w:szCs w:val="24"/>
          <w:highlight w:val="none"/>
        </w:rPr>
        <w:t>标</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未提出疑问</w:t>
      </w:r>
      <w:r>
        <w:rPr>
          <w:rFonts w:hint="eastAsia" w:asciiTheme="minorEastAsia" w:hAnsiTheme="minorEastAsia" w:eastAsiaTheme="minorEastAsia" w:cstheme="minorEastAsia"/>
          <w:color w:val="auto"/>
          <w:sz w:val="24"/>
          <w:szCs w:val="24"/>
          <w:highlight w:val="none"/>
          <w:lang w:eastAsia="zh-CN"/>
        </w:rPr>
        <w:t>或者未按前述要求提出</w:t>
      </w:r>
      <w:r>
        <w:rPr>
          <w:rFonts w:hint="eastAsia" w:asciiTheme="minorEastAsia" w:hAnsiTheme="minorEastAsia" w:eastAsiaTheme="minorEastAsia" w:cstheme="minorEastAsia"/>
          <w:color w:val="auto"/>
          <w:sz w:val="24"/>
          <w:szCs w:val="24"/>
          <w:highlight w:val="none"/>
        </w:rPr>
        <w:t>，视为完全理解并同意本采购文件，即</w:t>
      </w:r>
      <w:r>
        <w:rPr>
          <w:rFonts w:hint="eastAsia" w:asciiTheme="minorEastAsia" w:hAnsiTheme="minorEastAsia" w:eastAsiaTheme="minorEastAsia" w:cstheme="minorEastAsia"/>
          <w:color w:val="auto"/>
          <w:sz w:val="24"/>
          <w:szCs w:val="24"/>
          <w:highlight w:val="none"/>
          <w:lang w:eastAsia="zh-CN"/>
        </w:rPr>
        <w:t>投</w:t>
      </w:r>
      <w:r>
        <w:rPr>
          <w:rFonts w:hint="eastAsia" w:asciiTheme="minorEastAsia" w:hAnsiTheme="minorEastAsia" w:eastAsiaTheme="minorEastAsia" w:cstheme="minorEastAsia"/>
          <w:color w:val="auto"/>
          <w:sz w:val="24"/>
          <w:szCs w:val="24"/>
          <w:highlight w:val="none"/>
        </w:rPr>
        <w:t>标</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已详细阅读全部文件资料，完全理解</w:t>
      </w:r>
      <w:r>
        <w:rPr>
          <w:rFonts w:hint="eastAsia" w:asciiTheme="minorEastAsia" w:hAnsiTheme="minorEastAsia" w:eastAsiaTheme="minorEastAsia" w:cstheme="minorEastAsia"/>
          <w:color w:val="auto"/>
          <w:sz w:val="24"/>
          <w:szCs w:val="24"/>
          <w:highlight w:val="none"/>
          <w:lang w:eastAsia="zh-CN"/>
        </w:rPr>
        <w:t>本</w:t>
      </w:r>
      <w:r>
        <w:rPr>
          <w:rFonts w:hint="eastAsia" w:asciiTheme="minorEastAsia" w:hAnsiTheme="minorEastAsia" w:eastAsiaTheme="minorEastAsia" w:cstheme="minorEastAsia"/>
          <w:color w:val="auto"/>
          <w:sz w:val="24"/>
          <w:szCs w:val="24"/>
          <w:highlight w:val="none"/>
        </w:rPr>
        <w:t>询</w:t>
      </w:r>
      <w:r>
        <w:rPr>
          <w:rFonts w:hint="eastAsia" w:asciiTheme="minorEastAsia" w:hAnsiTheme="minorEastAsia" w:eastAsiaTheme="minorEastAsia" w:cstheme="minorEastAsia"/>
          <w:color w:val="auto"/>
          <w:sz w:val="24"/>
          <w:szCs w:val="24"/>
          <w:highlight w:val="none"/>
          <w:lang w:eastAsia="zh-CN"/>
        </w:rPr>
        <w:t>比</w:t>
      </w:r>
      <w:r>
        <w:rPr>
          <w:rFonts w:hint="eastAsia" w:asciiTheme="minorEastAsia" w:hAnsiTheme="minorEastAsia" w:eastAsiaTheme="minorEastAsia" w:cstheme="minorEastAsia"/>
          <w:color w:val="auto"/>
          <w:sz w:val="24"/>
          <w:szCs w:val="24"/>
          <w:highlight w:val="none"/>
        </w:rPr>
        <w:t>文件所有条款内容并同意放弃对这方面有不明白及误解的权利。</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eastAsia="zh-CN"/>
        </w:rPr>
      </w:pPr>
      <w:bookmarkStart w:id="10" w:name="_Toc372538154"/>
      <w:r>
        <w:rPr>
          <w:rStyle w:val="11"/>
          <w:rFonts w:hint="eastAsia"/>
          <w:color w:val="auto"/>
          <w:highlight w:val="none"/>
          <w:lang w:eastAsia="zh-CN"/>
        </w:rPr>
        <w:t>五、响应文件要求</w:t>
      </w:r>
      <w:bookmarkEnd w:id="10"/>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（一）响应文件由以下部分组成，包括：</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1、资格文件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(1)营业执照或者法人证书复印件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 法定代表人身份证明书（格式，法定代表人参与投标）或者法定代表人授权委托书（格式，被授权人参与投标）</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（3）诚信声明书</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2、技术及商务部分</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（1）技术部分 </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（2）商务部分  </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3、经济文件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（1）报价函</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明细报价表</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4、其他文件（不作为必要要件）</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投标单位提供与评分有关的内容或者投标单位认为需要提供的其他文件。</w:t>
      </w:r>
    </w:p>
    <w:p>
      <w:pPr>
        <w:pStyle w:val="5"/>
        <w:pageBreakBefore w:val="0"/>
        <w:numPr>
          <w:ilvl w:val="0"/>
          <w:numId w:val="2"/>
        </w:numPr>
        <w:tabs>
          <w:tab w:val="left" w:pos="777"/>
          <w:tab w:val="left" w:pos="852"/>
        </w:tabs>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以上响应文件由投标单位</w:t>
      </w:r>
      <w:r>
        <w:rPr>
          <w:rFonts w:hint="eastAsia" w:asciiTheme="minorEastAsia" w:hAnsiTheme="minorEastAsia" w:eastAsiaTheme="minorEastAsia" w:cstheme="minorEastAsia"/>
          <w:color w:val="auto"/>
          <w:sz w:val="24"/>
          <w:szCs w:val="24"/>
          <w:highlight w:val="none"/>
        </w:rPr>
        <w:t>以PDF格式</w:t>
      </w:r>
      <w:r>
        <w:rPr>
          <w:rFonts w:hint="eastAsia" w:asciiTheme="minorEastAsia" w:hAnsiTheme="minorEastAsia" w:eastAsiaTheme="minorEastAsia" w:cstheme="minorEastAsia"/>
          <w:color w:val="auto"/>
          <w:sz w:val="24"/>
          <w:szCs w:val="24"/>
          <w:highlight w:val="none"/>
        </w:rPr>
        <w:t>上传。</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eastAsia="zh-CN"/>
        </w:rPr>
      </w:pPr>
      <w:r>
        <w:rPr>
          <w:rStyle w:val="11"/>
          <w:rFonts w:hint="eastAsia"/>
          <w:color w:val="auto"/>
          <w:highlight w:val="none"/>
          <w:lang w:eastAsia="zh-CN"/>
        </w:rPr>
        <w:t>六、响应文件的真实性</w:t>
      </w:r>
    </w:p>
    <w:p>
      <w:pPr>
        <w:pStyle w:val="9"/>
        <w:pageBreakBefore w:val="0"/>
        <w:shd w:val="clear" w:color="auto" w:fill="FFFFFF"/>
        <w:kinsoku/>
        <w:wordWrap/>
        <w:overflowPunct/>
        <w:topLinePunct w:val="0"/>
        <w:autoSpaceDE/>
        <w:autoSpaceDN/>
        <w:bidi w:val="0"/>
        <w:adjustRightInd/>
        <w:spacing w:before="0" w:beforeAutospacing="0" w:after="0" w:afterAutospacing="0" w:line="460" w:lineRule="exact"/>
        <w:ind w:right="30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投标单位提供的投标材料要求真实可靠，采购单位可对投标材料真实性进行核查，如有虚假，采购单位取消中标单位中标资格或者与中标单位解除合同。中标单位赔偿由此造成采购单位的损失。</w:t>
      </w:r>
      <w:bookmarkStart w:id="11" w:name="_Toc372538155"/>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val="en-US" w:eastAsia="zh-CN"/>
        </w:rPr>
      </w:pPr>
      <w:r>
        <w:rPr>
          <w:rStyle w:val="11"/>
          <w:rFonts w:hint="eastAsia"/>
          <w:color w:val="auto"/>
          <w:highlight w:val="none"/>
          <w:lang w:val="en-US" w:eastAsia="zh-CN"/>
        </w:rPr>
        <w:t>七、投标报价</w:t>
      </w:r>
      <w:bookmarkEnd w:id="11"/>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最高限价：</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本项目最高限价（采购预算）：人民币</w:t>
      </w:r>
      <w:r>
        <w:rPr>
          <w:rFonts w:hint="eastAsia" w:ascii="宋体" w:hAnsi="宋体" w:cs="宋体"/>
          <w:color w:val="auto"/>
          <w:sz w:val="24"/>
          <w:szCs w:val="24"/>
          <w:highlight w:val="none"/>
          <w:u w:val="single"/>
          <w:lang w:val="en-US" w:eastAsia="zh-CN"/>
        </w:rPr>
        <w:t>446</w:t>
      </w:r>
      <w:r>
        <w:rPr>
          <w:rFonts w:hint="eastAsia" w:ascii="宋体" w:hAnsi="宋体" w:cs="宋体"/>
          <w:color w:val="auto"/>
          <w:sz w:val="24"/>
          <w:szCs w:val="24"/>
          <w:highlight w:val="none"/>
          <w:u w:val="single"/>
        </w:rPr>
        <w:t>000.00</w:t>
      </w:r>
      <w:r>
        <w:rPr>
          <w:rFonts w:hint="eastAsia" w:asciiTheme="minorEastAsia" w:hAnsiTheme="minorEastAsia" w:eastAsiaTheme="minorEastAsia" w:cstheme="minorEastAsia"/>
          <w:color w:val="auto"/>
          <w:sz w:val="24"/>
          <w:szCs w:val="24"/>
          <w:highlight w:val="none"/>
          <w:lang w:val="en-US" w:eastAsia="zh-CN"/>
        </w:rPr>
        <w:t>元。</w:t>
      </w:r>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bookmarkStart w:id="12" w:name="_Toc372538156"/>
      <w:r>
        <w:rPr>
          <w:rFonts w:hint="eastAsia" w:asciiTheme="minorEastAsia" w:hAnsiTheme="minorEastAsia" w:eastAsiaTheme="minorEastAsia" w:cstheme="minorEastAsia"/>
          <w:color w:val="auto"/>
          <w:sz w:val="24"/>
          <w:szCs w:val="24"/>
          <w:highlight w:val="none"/>
        </w:rPr>
        <w:t>报价要求</w:t>
      </w:r>
    </w:p>
    <w:p>
      <w:pPr>
        <w:pageBreakBefore w:val="0"/>
        <w:kinsoku/>
        <w:wordWrap/>
        <w:overflowPunct/>
        <w:topLinePunct w:val="0"/>
        <w:autoSpaceDE/>
        <w:autoSpaceDN/>
        <w:bidi w:val="0"/>
        <w:adjustRightInd/>
        <w:snapToGrid w:val="0"/>
        <w:spacing w:line="460" w:lineRule="exact"/>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投标报价应为投标单位在采购单位所在地完成本项目全部内容的完整报价，包含但不仅限于</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网络租用费</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税费</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设备维护费等，因投标单位自身原因造成漏报、少报皆由其自行承担责任，采购单位不再补偿，中标价为包干价，投标单位测算后确定投标报价。投标单位报价除报总价外还要提供</w:t>
      </w:r>
      <w:r>
        <w:rPr>
          <w:rFonts w:hint="eastAsia" w:asciiTheme="minorEastAsia" w:hAnsiTheme="minorEastAsia" w:cstheme="minorEastAsia"/>
          <w:color w:val="auto"/>
          <w:sz w:val="24"/>
          <w:szCs w:val="24"/>
          <w:highlight w:val="none"/>
          <w:lang w:val="en-US" w:eastAsia="zh-CN"/>
        </w:rPr>
        <w:t>明细报价表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明细报价表</w:t>
      </w:r>
      <w:r>
        <w:rPr>
          <w:rFonts w:hint="eastAsia" w:asciiTheme="minorEastAsia" w:hAnsiTheme="minorEastAsia" w:eastAsiaTheme="minorEastAsia" w:cstheme="minorEastAsia"/>
          <w:color w:val="auto"/>
          <w:sz w:val="24"/>
          <w:szCs w:val="24"/>
          <w:highlight w:val="none"/>
        </w:rPr>
        <w:t>作为总价支撑依据），投标总价作为评标依据。大小写应当一致，如不一致，以大写为准；若明细报价表中分项报价与总价不一致，采购单位有权采用</w:t>
      </w:r>
      <w:r>
        <w:rPr>
          <w:rFonts w:hint="eastAsia" w:asciiTheme="minorEastAsia" w:hAnsiTheme="minorEastAsia" w:cstheme="minorEastAsia"/>
          <w:color w:val="auto"/>
          <w:sz w:val="24"/>
          <w:szCs w:val="24"/>
          <w:highlight w:val="none"/>
          <w:lang w:val="en-US" w:eastAsia="zh-CN"/>
        </w:rPr>
        <w:t>以</w:t>
      </w:r>
      <w:r>
        <w:rPr>
          <w:rFonts w:hint="eastAsia" w:asciiTheme="minorEastAsia" w:hAnsiTheme="minorEastAsia" w:eastAsiaTheme="minorEastAsia" w:cstheme="minorEastAsia"/>
          <w:color w:val="auto"/>
          <w:sz w:val="24"/>
          <w:szCs w:val="24"/>
          <w:highlight w:val="none"/>
        </w:rPr>
        <w:t>有利于采购单位为准。</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val="en-US" w:eastAsia="zh-CN"/>
        </w:rPr>
      </w:pPr>
      <w:r>
        <w:rPr>
          <w:rStyle w:val="11"/>
          <w:rFonts w:hint="eastAsia"/>
          <w:color w:val="auto"/>
          <w:highlight w:val="none"/>
          <w:lang w:val="en-US" w:eastAsia="zh-CN"/>
        </w:rPr>
        <w:t>八、评审办法</w:t>
      </w:r>
      <w:bookmarkEnd w:id="12"/>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评审依据</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采购单位将以</w:t>
      </w:r>
      <w:r>
        <w:rPr>
          <w:rFonts w:hint="eastAsia" w:asciiTheme="minorEastAsia" w:hAnsiTheme="minorEastAsia" w:cstheme="minorEastAsia"/>
          <w:color w:val="auto"/>
          <w:sz w:val="24"/>
          <w:szCs w:val="24"/>
          <w:highlight w:val="none"/>
          <w:lang w:val="en-US" w:eastAsia="zh-CN"/>
        </w:rPr>
        <w:t>上传的响应文件</w:t>
      </w:r>
      <w:r>
        <w:rPr>
          <w:rFonts w:hint="eastAsia" w:asciiTheme="minorEastAsia" w:hAnsiTheme="minorEastAsia" w:eastAsiaTheme="minorEastAsia" w:cstheme="minorEastAsia"/>
          <w:color w:val="auto"/>
          <w:sz w:val="24"/>
          <w:szCs w:val="24"/>
          <w:highlight w:val="none"/>
          <w:lang w:val="en-US" w:eastAsia="zh-CN"/>
        </w:rPr>
        <w:t>作为评判依据。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无效响应</w:t>
      </w:r>
    </w:p>
    <w:p>
      <w:pPr>
        <w:pageBreakBefore w:val="0"/>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有下列情况之一者，为无效</w:t>
      </w:r>
      <w:r>
        <w:rPr>
          <w:rFonts w:hint="eastAsia" w:asciiTheme="minorEastAsia" w:hAnsiTheme="minorEastAsia" w:eastAsiaTheme="minorEastAsia" w:cstheme="minorEastAsia"/>
          <w:b/>
          <w:bCs/>
          <w:color w:val="auto"/>
          <w:sz w:val="24"/>
          <w:szCs w:val="24"/>
          <w:highlight w:val="none"/>
          <w:lang w:eastAsia="zh-CN"/>
        </w:rPr>
        <w:t>响应，为废标</w:t>
      </w:r>
      <w:r>
        <w:rPr>
          <w:rFonts w:hint="eastAsia" w:asciiTheme="minorEastAsia" w:hAnsiTheme="minorEastAsia" w:eastAsiaTheme="minorEastAsia" w:cstheme="minorEastAsia"/>
          <w:b/>
          <w:bCs/>
          <w:color w:val="auto"/>
          <w:sz w:val="24"/>
          <w:szCs w:val="24"/>
          <w:highlight w:val="none"/>
        </w:rPr>
        <w:t>（请仔细阅读）：</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文件缺少</w:t>
      </w:r>
      <w:r>
        <w:rPr>
          <w:rFonts w:hint="eastAsia" w:asciiTheme="minorEastAsia" w:hAnsiTheme="minorEastAsia" w:eastAsiaTheme="minorEastAsia" w:cstheme="minorEastAsia"/>
          <w:color w:val="auto"/>
          <w:sz w:val="24"/>
          <w:szCs w:val="24"/>
          <w:highlight w:val="none"/>
          <w:lang w:eastAsia="zh-CN"/>
        </w:rPr>
        <w:t>前述“五”中“</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”所列要件或者</w:t>
      </w:r>
      <w:r>
        <w:rPr>
          <w:rFonts w:hint="eastAsia" w:asciiTheme="minorEastAsia" w:hAnsiTheme="minorEastAsia" w:eastAsiaTheme="minorEastAsia" w:cstheme="minorEastAsia"/>
          <w:color w:val="auto"/>
          <w:sz w:val="24"/>
          <w:szCs w:val="24"/>
          <w:highlight w:val="none"/>
          <w:lang w:val="en-US" w:eastAsia="zh-CN"/>
        </w:rPr>
        <w:t>响应文件要件达不到本询比文件要求的</w:t>
      </w:r>
      <w:r>
        <w:rPr>
          <w:rFonts w:hint="eastAsia" w:asciiTheme="minorEastAsia" w:hAnsiTheme="minorEastAsia" w:eastAsiaTheme="minorEastAsia" w:cstheme="minorEastAsia"/>
          <w:color w:val="auto"/>
          <w:sz w:val="24"/>
          <w:szCs w:val="24"/>
          <w:highlight w:val="none"/>
          <w:lang w:eastAsia="zh-CN"/>
        </w:rPr>
        <w:t>。</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）营业执照等复印件未加盖投标单位公章或骑缝章的。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响应文件未按照本</w:t>
      </w:r>
      <w:r>
        <w:rPr>
          <w:rFonts w:hint="eastAsia" w:asciiTheme="minorEastAsia" w:hAnsiTheme="minorEastAsia" w:eastAsiaTheme="minorEastAsia" w:cstheme="minorEastAsia"/>
          <w:color w:val="auto"/>
          <w:sz w:val="24"/>
          <w:szCs w:val="24"/>
          <w:highlight w:val="none"/>
          <w:lang w:val="en-US" w:eastAsia="zh-CN"/>
        </w:rPr>
        <w:t>询比</w:t>
      </w:r>
      <w:r>
        <w:rPr>
          <w:rFonts w:hint="eastAsia" w:asciiTheme="minorEastAsia" w:hAnsiTheme="minorEastAsia" w:eastAsiaTheme="minorEastAsia" w:cstheme="minorEastAsia"/>
          <w:color w:val="auto"/>
          <w:sz w:val="24"/>
          <w:szCs w:val="24"/>
          <w:highlight w:val="none"/>
          <w:lang w:eastAsia="zh-CN"/>
        </w:rPr>
        <w:t>文件第六篇响应文件格式中所规定签字、盖章</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营业执照经营范围</w:t>
      </w:r>
      <w:r>
        <w:rPr>
          <w:rFonts w:hint="eastAsia" w:asciiTheme="minorEastAsia" w:hAnsiTheme="minorEastAsia" w:eastAsiaTheme="minorEastAsia" w:cstheme="minorEastAsia"/>
          <w:color w:val="auto"/>
          <w:sz w:val="24"/>
          <w:szCs w:val="24"/>
          <w:highlight w:val="none"/>
          <w:lang w:eastAsia="zh-CN"/>
        </w:rPr>
        <w:t>（或法人证书服务范围）</w:t>
      </w:r>
      <w:r>
        <w:rPr>
          <w:rFonts w:hint="eastAsia" w:asciiTheme="minorEastAsia" w:hAnsiTheme="minorEastAsia" w:eastAsiaTheme="minorEastAsia" w:cstheme="minorEastAsia"/>
          <w:color w:val="auto"/>
          <w:sz w:val="24"/>
          <w:szCs w:val="24"/>
          <w:highlight w:val="none"/>
        </w:rPr>
        <w:t>或者特定资格条件与本</w:t>
      </w:r>
      <w:r>
        <w:rPr>
          <w:rFonts w:hint="eastAsia" w:asciiTheme="minorEastAsia" w:hAnsiTheme="minorEastAsia" w:eastAsiaTheme="minorEastAsia" w:cstheme="minorEastAsia"/>
          <w:color w:val="auto"/>
          <w:sz w:val="24"/>
          <w:szCs w:val="24"/>
          <w:highlight w:val="none"/>
          <w:lang w:val="en-US" w:eastAsia="zh-CN"/>
        </w:rPr>
        <w:t>询比</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要求不符合或不在有效期内的</w:t>
      </w:r>
      <w:r>
        <w:rPr>
          <w:rFonts w:hint="eastAsia" w:asciiTheme="minorEastAsia" w:hAnsiTheme="minorEastAsia" w:eastAsiaTheme="minorEastAsia" w:cstheme="minorEastAsia"/>
          <w:color w:val="auto"/>
          <w:sz w:val="24"/>
          <w:szCs w:val="24"/>
          <w:highlight w:val="none"/>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(5)响应文件的投标时间与本询比文件发出时间和投标截止时间冲突的</w:t>
      </w:r>
      <w:r>
        <w:rPr>
          <w:rFonts w:hint="eastAsia" w:asciiTheme="minorEastAsia" w:hAnsiTheme="minorEastAsia" w:eastAsiaTheme="minorEastAsia" w:cstheme="minorEastAsia"/>
          <w:color w:val="auto"/>
          <w:sz w:val="24"/>
          <w:szCs w:val="24"/>
          <w:highlight w:val="none"/>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投标报价超过最高限价或者未按本</w:t>
      </w:r>
      <w:r>
        <w:rPr>
          <w:rFonts w:hint="eastAsia" w:asciiTheme="minorEastAsia" w:hAnsiTheme="minorEastAsia" w:eastAsiaTheme="minorEastAsia" w:cstheme="minorEastAsia"/>
          <w:color w:val="auto"/>
          <w:sz w:val="24"/>
          <w:szCs w:val="24"/>
          <w:highlight w:val="none"/>
          <w:lang w:val="en-US" w:eastAsia="zh-CN"/>
        </w:rPr>
        <w:t>询比</w:t>
      </w:r>
      <w:r>
        <w:rPr>
          <w:rFonts w:hint="eastAsia" w:asciiTheme="minorEastAsia" w:hAnsiTheme="minorEastAsia" w:eastAsiaTheme="minorEastAsia" w:cstheme="minorEastAsia"/>
          <w:color w:val="auto"/>
          <w:sz w:val="24"/>
          <w:szCs w:val="24"/>
          <w:highlight w:val="none"/>
          <w:lang w:eastAsia="zh-CN"/>
        </w:rPr>
        <w:t>文件要求</w:t>
      </w:r>
      <w:r>
        <w:rPr>
          <w:rFonts w:hint="eastAsia" w:asciiTheme="minorEastAsia" w:hAnsiTheme="minorEastAsia" w:eastAsiaTheme="minorEastAsia" w:cstheme="minorEastAsia"/>
          <w:color w:val="auto"/>
          <w:sz w:val="24"/>
          <w:szCs w:val="24"/>
          <w:highlight w:val="none"/>
        </w:rPr>
        <w:t>报价的</w:t>
      </w:r>
      <w:r>
        <w:rPr>
          <w:rFonts w:hint="eastAsia" w:asciiTheme="minorEastAsia" w:hAnsiTheme="minorEastAsia" w:eastAsiaTheme="minorEastAsia" w:cstheme="minorEastAsia"/>
          <w:color w:val="auto"/>
          <w:sz w:val="24"/>
          <w:szCs w:val="24"/>
          <w:highlight w:val="none"/>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(7)响应文件如有更改，在更改处未加盖公章的。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(8)响应文件未按本询比文件“第六篇 供应商编制响应文件要求”编制的。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文件内容不完全满足本</w:t>
      </w:r>
      <w:r>
        <w:rPr>
          <w:rFonts w:hint="eastAsia" w:asciiTheme="minorEastAsia" w:hAnsiTheme="minorEastAsia" w:eastAsiaTheme="minorEastAsia" w:cstheme="minorEastAsia"/>
          <w:color w:val="auto"/>
          <w:sz w:val="24"/>
          <w:szCs w:val="24"/>
          <w:highlight w:val="none"/>
          <w:lang w:val="en-US" w:eastAsia="zh-CN"/>
        </w:rPr>
        <w:t>询比</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的要求的</w:t>
      </w:r>
      <w:r>
        <w:rPr>
          <w:rFonts w:hint="eastAsia" w:asciiTheme="minorEastAsia" w:hAnsiTheme="minorEastAsia" w:eastAsiaTheme="minorEastAsia" w:cstheme="minorEastAsia"/>
          <w:color w:val="auto"/>
          <w:sz w:val="24"/>
          <w:szCs w:val="24"/>
          <w:highlight w:val="none"/>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原则</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综合评分法：满分100分，采购单位对已入围（有效响应）评审的投标单位的响应文件和报价进行评分，</w:t>
      </w:r>
      <w:r>
        <w:rPr>
          <w:rFonts w:hint="eastAsia" w:asciiTheme="minorEastAsia" w:hAnsiTheme="minorEastAsia" w:cstheme="minorEastAsia"/>
          <w:color w:val="auto"/>
          <w:sz w:val="24"/>
          <w:szCs w:val="24"/>
          <w:highlight w:val="none"/>
          <w:lang w:val="en-US" w:eastAsia="zh-CN"/>
        </w:rPr>
        <w:t>授权评标委员会直接确定综合</w:t>
      </w:r>
      <w:r>
        <w:rPr>
          <w:rFonts w:hint="eastAsia" w:asciiTheme="minorEastAsia" w:hAnsiTheme="minorEastAsia" w:eastAsiaTheme="minorEastAsia" w:cstheme="minorEastAsia"/>
          <w:color w:val="auto"/>
          <w:sz w:val="24"/>
          <w:szCs w:val="24"/>
          <w:highlight w:val="none"/>
          <w:lang w:val="en-US" w:eastAsia="zh-CN"/>
        </w:rPr>
        <w:t>得分最高的投标单位为</w:t>
      </w:r>
      <w:r>
        <w:rPr>
          <w:rFonts w:hint="eastAsia" w:asciiTheme="minorEastAsia" w:hAnsi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lang w:val="en-US" w:eastAsia="zh-CN"/>
        </w:rPr>
        <w:t>；未入围的投标单位不参与评审。评审得分保留小数点后两位，如果得分相同，按小数点后第三位高的原则选取。</w:t>
      </w:r>
    </w:p>
    <w:p>
      <w:pPr>
        <w:pageBreakBefore w:val="0"/>
        <w:kinsoku/>
        <w:wordWrap/>
        <w:overflowPunct/>
        <w:topLinePunct w:val="0"/>
        <w:autoSpaceDE/>
        <w:autoSpaceDN/>
        <w:bidi w:val="0"/>
        <w:adjustRightInd/>
        <w:snapToGrid w:val="0"/>
        <w:spacing w:line="460" w:lineRule="exact"/>
        <w:ind w:firstLine="48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评分标准</w:t>
      </w:r>
    </w:p>
    <w:tbl>
      <w:tblPr>
        <w:tblStyle w:val="12"/>
        <w:tblW w:w="8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
        <w:gridCol w:w="1052"/>
        <w:gridCol w:w="720"/>
        <w:gridCol w:w="4273"/>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28"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rPr>
              <w:t>序号</w:t>
            </w:r>
          </w:p>
        </w:tc>
        <w:tc>
          <w:tcPr>
            <w:tcW w:w="1052"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rPr>
              <w:t>评分因素</w:t>
            </w:r>
          </w:p>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rPr>
              <w:t>及权重</w:t>
            </w:r>
          </w:p>
        </w:tc>
        <w:tc>
          <w:tcPr>
            <w:tcW w:w="72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rPr>
              <w:t>分值</w:t>
            </w:r>
          </w:p>
        </w:tc>
        <w:tc>
          <w:tcPr>
            <w:tcW w:w="4273"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rPr>
              <w:t>评分标准</w:t>
            </w:r>
          </w:p>
        </w:tc>
        <w:tc>
          <w:tcPr>
            <w:tcW w:w="197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328"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rPr>
              <w:t>1</w:t>
            </w:r>
          </w:p>
        </w:tc>
        <w:tc>
          <w:tcPr>
            <w:tcW w:w="1052"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rPr>
              <w:t xml:space="preserve">投标报价( </w:t>
            </w:r>
            <w:r>
              <w:rPr>
                <w:rFonts w:hint="eastAsia"/>
                <w:bCs/>
                <w:color w:val="auto"/>
                <w:highlight w:val="none"/>
                <w:lang w:val="en-US" w:eastAsia="zh-CN"/>
              </w:rPr>
              <w:t>4</w:t>
            </w:r>
            <w:r>
              <w:rPr>
                <w:rFonts w:hint="default"/>
                <w:bCs/>
                <w:color w:val="auto"/>
                <w:highlight w:val="none"/>
                <w:lang w:val="en-US"/>
              </w:rPr>
              <w:t>0</w:t>
            </w:r>
            <w:r>
              <w:rPr>
                <w:rFonts w:hint="eastAsia"/>
                <w:bCs/>
                <w:color w:val="auto"/>
                <w:highlight w:val="none"/>
              </w:rPr>
              <w:t>%)</w:t>
            </w:r>
          </w:p>
        </w:tc>
        <w:tc>
          <w:tcPr>
            <w:tcW w:w="72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lang w:val="en-US" w:eastAsia="zh-CN"/>
              </w:rPr>
              <w:t>4</w:t>
            </w:r>
            <w:r>
              <w:rPr>
                <w:rFonts w:hint="default"/>
                <w:bCs/>
                <w:color w:val="auto"/>
                <w:highlight w:val="none"/>
                <w:lang w:val="en-US"/>
              </w:rPr>
              <w:t>0</w:t>
            </w:r>
            <w:r>
              <w:rPr>
                <w:rFonts w:hint="eastAsia"/>
                <w:bCs/>
                <w:color w:val="auto"/>
                <w:highlight w:val="none"/>
              </w:rPr>
              <w:t>分</w:t>
            </w:r>
          </w:p>
        </w:tc>
        <w:tc>
          <w:tcPr>
            <w:tcW w:w="4273"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rPr>
            </w:pPr>
            <w:r>
              <w:rPr>
                <w:rFonts w:hint="eastAsia"/>
                <w:bCs/>
                <w:color w:val="auto"/>
                <w:highlight w:val="none"/>
              </w:rPr>
              <w:t>有效投标报价中的最低价为评标基准价，按照下列公式计算每个供应商的投标价格得分。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rPr>
            </w:pPr>
            <w:r>
              <w:rPr>
                <w:rFonts w:hint="eastAsia"/>
                <w:bCs/>
                <w:color w:val="auto"/>
                <w:highlight w:val="none"/>
              </w:rPr>
              <w:t>投标报价得分＝（评标基准价/投标报价）×价格权重×100。</w:t>
            </w:r>
          </w:p>
        </w:tc>
        <w:tc>
          <w:tcPr>
            <w:tcW w:w="197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rPr>
            </w:pPr>
            <w:r>
              <w:rPr>
                <w:rFonts w:hint="eastAsia"/>
                <w:bCs/>
                <w:color w:val="auto"/>
                <w:highlight w:val="none"/>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56" w:hRule="atLeast"/>
        </w:trPr>
        <w:tc>
          <w:tcPr>
            <w:tcW w:w="328" w:type="dxa"/>
            <w:vMerge w:val="restart"/>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rPr>
              <w:t>2</w:t>
            </w:r>
          </w:p>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p>
        </w:tc>
        <w:tc>
          <w:tcPr>
            <w:tcW w:w="1052" w:type="dxa"/>
            <w:vMerge w:val="restart"/>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rPr>
              <w:t>技术部分（</w:t>
            </w:r>
            <w:r>
              <w:rPr>
                <w:rFonts w:hint="eastAsia"/>
                <w:bCs/>
                <w:color w:val="auto"/>
                <w:highlight w:val="none"/>
                <w:lang w:val="en-US" w:eastAsia="zh-CN"/>
              </w:rPr>
              <w:t>50</w:t>
            </w:r>
            <w:r>
              <w:rPr>
                <w:rFonts w:hint="eastAsia"/>
                <w:bCs/>
                <w:color w:val="auto"/>
                <w:highlight w:val="none"/>
              </w:rPr>
              <w:t>%）</w:t>
            </w:r>
          </w:p>
        </w:tc>
        <w:tc>
          <w:tcPr>
            <w:tcW w:w="72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ascii="宋体" w:hAnsi="宋体" w:cs="宋体"/>
                <w:color w:val="auto"/>
                <w:kern w:val="0"/>
                <w:szCs w:val="21"/>
                <w:highlight w:val="none"/>
              </w:rPr>
              <w:t>基础分值</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w:t>
            </w:r>
            <w:r>
              <w:rPr>
                <w:rFonts w:ascii="宋体" w:hAnsi="宋体" w:cs="宋体"/>
                <w:color w:val="auto"/>
                <w:kern w:val="0"/>
                <w:szCs w:val="21"/>
                <w:highlight w:val="none"/>
              </w:rPr>
              <w:t>10</w:t>
            </w:r>
            <w:r>
              <w:rPr>
                <w:rFonts w:hint="eastAsia" w:ascii="宋体" w:hAnsi="宋体" w:cs="宋体"/>
                <w:color w:val="auto"/>
                <w:kern w:val="0"/>
                <w:szCs w:val="21"/>
                <w:highlight w:val="none"/>
              </w:rPr>
              <w:t>分）</w:t>
            </w:r>
          </w:p>
        </w:tc>
        <w:tc>
          <w:tcPr>
            <w:tcW w:w="4273"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rPr>
            </w:pPr>
            <w:r>
              <w:rPr>
                <w:rFonts w:hint="eastAsia"/>
                <w:bCs/>
                <w:color w:val="auto"/>
                <w:highlight w:val="none"/>
              </w:rPr>
              <w:t>根据各投标单位对本采购文件“第三篇  采购项目内容及技术要求”中“</w:t>
            </w:r>
            <w:r>
              <w:rPr>
                <w:rFonts w:hint="eastAsia"/>
                <w:bCs/>
                <w:color w:val="auto"/>
                <w:highlight w:val="none"/>
                <w:lang w:val="en-US" w:eastAsia="zh-CN"/>
              </w:rPr>
              <w:t>二</w:t>
            </w:r>
            <w:r>
              <w:rPr>
                <w:rFonts w:hint="eastAsia"/>
                <w:bCs/>
                <w:color w:val="auto"/>
                <w:highlight w:val="none"/>
              </w:rPr>
              <w:t>、采购项目内容”下共</w:t>
            </w:r>
            <w:r>
              <w:rPr>
                <w:rFonts w:hint="eastAsia"/>
                <w:bCs/>
                <w:color w:val="auto"/>
                <w:highlight w:val="none"/>
                <w:lang w:val="en-US" w:eastAsia="zh-CN"/>
              </w:rPr>
              <w:t>八</w:t>
            </w:r>
            <w:r>
              <w:rPr>
                <w:rFonts w:hint="eastAsia"/>
                <w:bCs/>
                <w:color w:val="auto"/>
                <w:highlight w:val="none"/>
              </w:rPr>
              <w:t>点的响应情况进行评审：</w:t>
            </w:r>
            <w:r>
              <w:rPr>
                <w:rFonts w:hint="eastAsia"/>
                <w:bCs/>
                <w:color w:val="auto"/>
                <w:highlight w:val="none"/>
              </w:rPr>
              <w:br w:type="textWrapping"/>
            </w:r>
            <w:r>
              <w:rPr>
                <w:rFonts w:hint="eastAsia"/>
                <w:bCs/>
                <w:color w:val="auto"/>
                <w:highlight w:val="none"/>
              </w:rPr>
              <w:t>1.有效投标人的起评分为10分；</w:t>
            </w:r>
            <w:r>
              <w:rPr>
                <w:rFonts w:hint="eastAsia"/>
                <w:bCs/>
                <w:color w:val="auto"/>
                <w:highlight w:val="none"/>
              </w:rPr>
              <w:br w:type="textWrapping"/>
            </w:r>
            <w:r>
              <w:rPr>
                <w:rFonts w:hint="eastAsia"/>
                <w:bCs/>
                <w:color w:val="auto"/>
                <w:highlight w:val="none"/>
              </w:rPr>
              <w:t>2.扣分条款：</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rPr>
            </w:pPr>
            <w:r>
              <w:rPr>
                <w:rFonts w:hint="eastAsia"/>
                <w:bCs/>
                <w:color w:val="auto"/>
                <w:highlight w:val="none"/>
                <w:lang w:val="en-US" w:eastAsia="zh-CN"/>
              </w:rPr>
              <w:t>2.1采购项目内容不满足一项扣2分，扣完为止。</w:t>
            </w:r>
          </w:p>
        </w:tc>
        <w:tc>
          <w:tcPr>
            <w:tcW w:w="197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61" w:hRule="atLeast"/>
        </w:trPr>
        <w:tc>
          <w:tcPr>
            <w:tcW w:w="328" w:type="dxa"/>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p>
        </w:tc>
        <w:tc>
          <w:tcPr>
            <w:tcW w:w="1052" w:type="dxa"/>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p>
        </w:tc>
        <w:tc>
          <w:tcPr>
            <w:tcW w:w="72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技术方案</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tc>
        <w:tc>
          <w:tcPr>
            <w:tcW w:w="4273"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asciiTheme="minorHAnsi" w:hAnsiTheme="minorHAnsi" w:cstheme="minorBidi"/>
                <w:bCs/>
                <w:color w:val="auto"/>
                <w:kern w:val="2"/>
                <w:szCs w:val="22"/>
                <w:highlight w:val="none"/>
              </w:rPr>
              <w:t>投标单位需结合本项目技术服务要求自行制作技术方案，为确保现有业务的延续性，保障已有应用服务不中断，投标方需提供</w:t>
            </w:r>
            <w:r>
              <w:rPr>
                <w:rFonts w:hint="eastAsia"/>
                <w:bCs/>
                <w:color w:val="auto"/>
                <w:highlight w:val="none"/>
                <w:lang w:val="en-US" w:eastAsia="zh-CN"/>
              </w:rPr>
              <w:t>本项目的技术方案。内容包含但不限于：</w:t>
            </w:r>
          </w:p>
          <w:p>
            <w:pPr>
              <w:numPr>
                <w:ilvl w:val="-1"/>
                <w:numId w:val="0"/>
              </w:numPr>
              <w:ind w:firstLine="0"/>
              <w:jc w:val="left"/>
              <w:rPr>
                <w:rFonts w:hint="eastAsia"/>
                <w:color w:val="auto"/>
                <w:highlight w:val="none"/>
              </w:rPr>
            </w:pPr>
            <w:r>
              <w:rPr>
                <w:rFonts w:hint="eastAsia"/>
                <w:bCs/>
                <w:color w:val="auto"/>
                <w:highlight w:val="none"/>
              </w:rPr>
              <w:t>现状及需求分析（</w:t>
            </w:r>
            <w:r>
              <w:rPr>
                <w:rFonts w:hint="eastAsia"/>
                <w:bCs/>
                <w:color w:val="auto"/>
                <w:highlight w:val="none"/>
                <w:lang w:val="en-US" w:eastAsia="zh-CN"/>
              </w:rPr>
              <w:t>20</w:t>
            </w:r>
            <w:r>
              <w:rPr>
                <w:rFonts w:hint="eastAsia"/>
                <w:bCs/>
                <w:color w:val="auto"/>
                <w:highlight w:val="none"/>
              </w:rPr>
              <w:t>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1、专线接入技术：要求包含互联网专线、数据专线技术架构、拓扑图及相应描述。</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2、短彩信发送平台：平台功能及相应描述。</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3、内部通信短号服务：服务功能及相应描述。</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4、IPv6转换服务：服务技术架构、拓扑图及相应描述。</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5、企业邮箱：企业邮箱功能及相应描述</w:t>
            </w:r>
          </w:p>
          <w:p>
            <w:pPr>
              <w:pageBreakBefore w:val="0"/>
              <w:kinsoku/>
              <w:wordWrap/>
              <w:overflowPunct/>
              <w:topLinePunct w:val="0"/>
              <w:autoSpaceDE/>
              <w:autoSpaceDN/>
              <w:bidi w:val="0"/>
              <w:adjustRightInd/>
              <w:spacing w:line="240" w:lineRule="auto"/>
              <w:ind w:firstLine="28"/>
              <w:jc w:val="left"/>
              <w:textAlignment w:val="auto"/>
              <w:rPr>
                <w:rFonts w:hint="default"/>
                <w:bCs/>
                <w:color w:val="auto"/>
                <w:highlight w:val="none"/>
                <w:lang w:val="en-US" w:eastAsia="zh-CN"/>
              </w:rPr>
            </w:pPr>
            <w:r>
              <w:rPr>
                <w:rFonts w:hint="eastAsia"/>
                <w:bCs/>
                <w:color w:val="auto"/>
                <w:highlight w:val="none"/>
                <w:lang w:val="en-US" w:eastAsia="zh-CN"/>
              </w:rPr>
              <w:t>6、wifi认证平台：平台功能及相应描述。</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评审标准：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方案包含上述所有内容的基础上，内容不存在瑕疵的得20分；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方案包含上述所有内容的基础上，内容存在1处瑕疵的得15分；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方案包含上述所有内容的基础上，内容存在2处瑕疵的得10分；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方案包含上述所有内容的基础上，内容存在3处瑕疵的得5分；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rPr>
            </w:pPr>
            <w:r>
              <w:rPr>
                <w:rFonts w:hint="eastAsia"/>
                <w:bCs/>
                <w:color w:val="auto"/>
                <w:highlight w:val="none"/>
                <w:lang w:val="en-US" w:eastAsia="zh-CN"/>
              </w:rPr>
              <w:t>方案包含上述内容不全或内容存在4处及以上瑕疵的或未提供得0分。</w:t>
            </w:r>
          </w:p>
        </w:tc>
        <w:tc>
          <w:tcPr>
            <w:tcW w:w="1970" w:type="dxa"/>
            <w:vMerge w:val="restart"/>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提供相关方案，格式自定。</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注：本项内容中所称的“瑕疵”为以下任1情形：</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①内容表述不完整；</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②设计及实施方案不科学合理；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③内容表述前后矛盾、无连贯性、内容存在逻辑漏洞；</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④常识性错误；</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⑤技术实施安排并不适用本包特性或非专门针对本包制定；</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⑥方案中提出的实施举措不利于本包目标的实现；</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⑦现有技术条件下不可能实现采购目标；</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（方案中任1处存在上述任意1种情形为1处瑕疵）。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61" w:hRule="atLeast"/>
        </w:trPr>
        <w:tc>
          <w:tcPr>
            <w:tcW w:w="328" w:type="dxa"/>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p>
        </w:tc>
        <w:tc>
          <w:tcPr>
            <w:tcW w:w="1052" w:type="dxa"/>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p>
        </w:tc>
        <w:tc>
          <w:tcPr>
            <w:tcW w:w="72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rFonts w:hint="eastAsia" w:ascii="宋体" w:hAnsi="宋体" w:cs="宋体"/>
                <w:color w:val="auto"/>
                <w:kern w:val="0"/>
                <w:szCs w:val="21"/>
                <w:highlight w:val="none"/>
              </w:rPr>
            </w:pPr>
            <w:r>
              <w:rPr>
                <w:rFonts w:hint="eastAsia"/>
                <w:bCs/>
                <w:color w:val="auto"/>
                <w:highlight w:val="none"/>
              </w:rPr>
              <w:t>实施方案（</w:t>
            </w:r>
            <w:r>
              <w:rPr>
                <w:rFonts w:hint="eastAsia"/>
                <w:bCs/>
                <w:color w:val="auto"/>
                <w:highlight w:val="none"/>
                <w:lang w:val="en-US" w:eastAsia="zh-CN"/>
              </w:rPr>
              <w:t>20</w:t>
            </w:r>
            <w:r>
              <w:rPr>
                <w:rFonts w:hint="eastAsia"/>
                <w:bCs/>
                <w:color w:val="auto"/>
                <w:highlight w:val="none"/>
              </w:rPr>
              <w:t>分）</w:t>
            </w:r>
          </w:p>
        </w:tc>
        <w:tc>
          <w:tcPr>
            <w:tcW w:w="4273"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asciiTheme="minorHAnsi" w:hAnsiTheme="minorHAnsi" w:cstheme="minorBidi"/>
                <w:bCs/>
                <w:color w:val="auto"/>
                <w:kern w:val="2"/>
                <w:szCs w:val="22"/>
                <w:highlight w:val="none"/>
              </w:rPr>
              <w:t>投标单位需结合本项目技术服务要求自行制作</w:t>
            </w:r>
            <w:r>
              <w:rPr>
                <w:rFonts w:hint="eastAsia"/>
                <w:bCs/>
                <w:color w:val="auto"/>
                <w:highlight w:val="none"/>
                <w:lang w:val="en-US" w:eastAsia="zh-CN"/>
              </w:rPr>
              <w:t>实施</w:t>
            </w:r>
            <w:r>
              <w:rPr>
                <w:rFonts w:hint="eastAsia" w:asciiTheme="minorHAnsi" w:hAnsiTheme="minorHAnsi" w:cstheme="minorBidi"/>
                <w:bCs/>
                <w:color w:val="auto"/>
                <w:kern w:val="2"/>
                <w:szCs w:val="22"/>
                <w:highlight w:val="none"/>
              </w:rPr>
              <w:t>方案，为确保现有业务的延续性，保障已有应用服务不中断，投标方需提供</w:t>
            </w:r>
            <w:r>
              <w:rPr>
                <w:rFonts w:hint="eastAsia"/>
                <w:bCs/>
                <w:color w:val="auto"/>
                <w:highlight w:val="none"/>
                <w:lang w:val="en-US" w:eastAsia="zh-CN"/>
              </w:rPr>
              <w:t>本项目的实施方案。内容包含但不限于：</w:t>
            </w:r>
          </w:p>
          <w:p>
            <w:pPr>
              <w:pageBreakBefore w:val="0"/>
              <w:kinsoku/>
              <w:wordWrap/>
              <w:overflowPunct/>
              <w:topLinePunct w:val="0"/>
              <w:autoSpaceDE/>
              <w:autoSpaceDN/>
              <w:bidi w:val="0"/>
              <w:adjustRightInd/>
              <w:spacing w:line="240" w:lineRule="auto"/>
              <w:ind w:firstLine="28"/>
              <w:jc w:val="left"/>
              <w:textAlignment w:val="auto"/>
              <w:rPr>
                <w:rFonts w:hint="default"/>
                <w:bCs/>
                <w:color w:val="auto"/>
                <w:highlight w:val="none"/>
                <w:lang w:val="en-US" w:eastAsia="zh-CN"/>
              </w:rPr>
            </w:pPr>
            <w:r>
              <w:rPr>
                <w:rFonts w:hint="eastAsia"/>
                <w:bCs/>
                <w:color w:val="auto"/>
                <w:highlight w:val="none"/>
                <w:lang w:val="en-US" w:eastAsia="zh-CN"/>
              </w:rPr>
              <w:t>技术及实施方案（20分）</w:t>
            </w:r>
          </w:p>
          <w:p>
            <w:pPr>
              <w:pageBreakBefore w:val="0"/>
              <w:kinsoku/>
              <w:wordWrap/>
              <w:overflowPunct/>
              <w:topLinePunct w:val="0"/>
              <w:autoSpaceDE/>
              <w:autoSpaceDN/>
              <w:bidi w:val="0"/>
              <w:adjustRightInd/>
              <w:spacing w:line="240" w:lineRule="auto"/>
              <w:ind w:firstLine="28"/>
              <w:jc w:val="left"/>
              <w:textAlignment w:val="auto"/>
              <w:rPr>
                <w:rFonts w:hint="default"/>
                <w:bCs/>
                <w:color w:val="auto"/>
                <w:highlight w:val="none"/>
                <w:lang w:val="en-US" w:eastAsia="zh-CN"/>
              </w:rPr>
            </w:pPr>
            <w:r>
              <w:rPr>
                <w:rFonts w:hint="eastAsia"/>
                <w:bCs/>
                <w:color w:val="auto"/>
                <w:highlight w:val="none"/>
                <w:lang w:val="en-US" w:eastAsia="zh-CN"/>
              </w:rPr>
              <w:t>1、</w:t>
            </w:r>
            <w:r>
              <w:rPr>
                <w:rFonts w:hint="eastAsia"/>
                <w:bCs/>
                <w:color w:val="auto"/>
                <w:highlight w:val="none"/>
                <w:lang w:val="en-US" w:eastAsia="zh-CN"/>
              </w:rPr>
              <w:t>专线接入技术、短彩信发送平台、内部通信短号服务、IPv6转换服务、企业邮箱、wifi认证平台实施方案。</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2、项目进度计划。</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3、项目管理组织体系。</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4、质量管理与控制</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评审标准：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方案包含上述所有内容的基础上，内容不存在瑕疵的得20分；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方案包含上述所有内容的基础上，内容存在1处瑕疵的得15分；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方案包含上述所有内容的基础上，内容存在2处瑕疵的得10分；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方案包含上述所有内容的基础上，内容存在3处瑕疵的得5分；</w:t>
            </w:r>
          </w:p>
          <w:p>
            <w:pPr>
              <w:pageBreakBefore w:val="0"/>
              <w:kinsoku/>
              <w:wordWrap/>
              <w:overflowPunct/>
              <w:topLinePunct w:val="0"/>
              <w:autoSpaceDE/>
              <w:autoSpaceDN/>
              <w:bidi w:val="0"/>
              <w:adjustRightInd/>
              <w:spacing w:line="240" w:lineRule="auto"/>
              <w:ind w:firstLine="28"/>
              <w:jc w:val="left"/>
              <w:textAlignment w:val="auto"/>
              <w:rPr>
                <w:rFonts w:hint="eastAsia" w:asciiTheme="minorHAnsi" w:hAnsiTheme="minorHAnsi" w:cstheme="minorBidi"/>
                <w:bCs/>
                <w:color w:val="auto"/>
                <w:kern w:val="2"/>
                <w:szCs w:val="22"/>
                <w:highlight w:val="none"/>
              </w:rPr>
            </w:pPr>
            <w:r>
              <w:rPr>
                <w:rFonts w:hint="eastAsia"/>
                <w:bCs/>
                <w:color w:val="auto"/>
                <w:highlight w:val="none"/>
                <w:lang w:val="en-US" w:eastAsia="zh-CN"/>
              </w:rPr>
              <w:t>方案包含上述内容不全或内容存在4处及以上瑕疵的或未提供得0分。</w:t>
            </w:r>
          </w:p>
        </w:tc>
        <w:tc>
          <w:tcPr>
            <w:tcW w:w="1970" w:type="dxa"/>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3" w:hRule="atLeast"/>
        </w:trPr>
        <w:tc>
          <w:tcPr>
            <w:tcW w:w="328" w:type="dxa"/>
            <w:vMerge w:val="restart"/>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rFonts w:hint="eastAsia" w:eastAsiaTheme="minorEastAsia"/>
                <w:bCs/>
                <w:color w:val="auto"/>
                <w:highlight w:val="none"/>
                <w:lang w:val="en-US" w:eastAsia="zh-CN"/>
              </w:rPr>
            </w:pPr>
            <w:r>
              <w:rPr>
                <w:rFonts w:hint="eastAsia"/>
                <w:bCs/>
                <w:color w:val="auto"/>
                <w:highlight w:val="none"/>
                <w:lang w:val="en-US" w:eastAsia="zh-CN"/>
              </w:rPr>
              <w:t>3</w:t>
            </w:r>
          </w:p>
        </w:tc>
        <w:tc>
          <w:tcPr>
            <w:tcW w:w="1052" w:type="dxa"/>
            <w:vMerge w:val="restart"/>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bCs/>
                <w:color w:val="auto"/>
                <w:highlight w:val="none"/>
              </w:rPr>
              <w:t>商务部分(</w:t>
            </w:r>
            <w:r>
              <w:rPr>
                <w:rFonts w:hint="eastAsia"/>
                <w:bCs/>
                <w:color w:val="auto"/>
                <w:highlight w:val="none"/>
                <w:lang w:val="en-US" w:eastAsia="zh-CN"/>
              </w:rPr>
              <w:t>10</w:t>
            </w:r>
            <w:r>
              <w:rPr>
                <w:rFonts w:hint="eastAsia"/>
                <w:bCs/>
                <w:color w:val="auto"/>
                <w:highlight w:val="none"/>
              </w:rPr>
              <w:t>%)</w:t>
            </w:r>
          </w:p>
        </w:tc>
        <w:tc>
          <w:tcPr>
            <w:tcW w:w="720" w:type="dxa"/>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
            </w:pPr>
            <w:r>
              <w:rPr>
                <w:rFonts w:hint="eastAsia" w:ascii="宋体" w:hAnsi="宋体" w:cs="宋体"/>
                <w:color w:val="auto"/>
                <w:kern w:val="0"/>
                <w:szCs w:val="21"/>
                <w:highlight w:val="none"/>
              </w:rPr>
              <w:t>服务</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能力</w:t>
            </w:r>
            <w:r>
              <w:rPr>
                <w:rFonts w:hint="eastAsia"/>
                <w:bCs/>
                <w:color w:val="auto"/>
                <w:highlight w:val="none"/>
              </w:rPr>
              <w:t>（</w:t>
            </w:r>
            <w:r>
              <w:rPr>
                <w:rFonts w:hint="eastAsia"/>
                <w:bCs/>
                <w:color w:val="auto"/>
                <w:highlight w:val="none"/>
                <w:lang w:val="en-US" w:eastAsia="zh-CN"/>
              </w:rPr>
              <w:t>7</w:t>
            </w:r>
            <w:r>
              <w:rPr>
                <w:rFonts w:hint="eastAsia"/>
                <w:bCs/>
                <w:color w:val="auto"/>
                <w:highlight w:val="none"/>
              </w:rPr>
              <w:t>分）</w:t>
            </w:r>
          </w:p>
        </w:tc>
        <w:tc>
          <w:tcPr>
            <w:tcW w:w="4273" w:type="dxa"/>
            <w:vAlign w:val="center"/>
          </w:tcPr>
          <w:p>
            <w:pPr>
              <w:pageBreakBefore w:val="0"/>
              <w:numPr>
                <w:ilvl w:val="0"/>
                <w:numId w:val="5"/>
              </w:numPr>
              <w:kinsoku/>
              <w:wordWrap/>
              <w:overflowPunct/>
              <w:topLinePunct w:val="0"/>
              <w:autoSpaceDE/>
              <w:autoSpaceDN/>
              <w:bidi w:val="0"/>
              <w:adjustRightInd/>
              <w:spacing w:line="240" w:lineRule="auto"/>
              <w:ind w:firstLine="28"/>
              <w:jc w:val="left"/>
              <w:textAlignment w:val="auto"/>
              <w:rPr>
                <w:rFonts w:hint="eastAsia"/>
                <w:color w:val="auto"/>
                <w:highlight w:val="none"/>
              </w:rPr>
            </w:pPr>
            <w:r>
              <w:rPr>
                <w:rFonts w:hint="eastAsia"/>
                <w:color w:val="auto"/>
                <w:highlight w:val="none"/>
                <w:lang w:eastAsia="zh-CN"/>
              </w:rPr>
              <w:t>实施能力（</w:t>
            </w:r>
            <w:r>
              <w:rPr>
                <w:rFonts w:hint="eastAsia"/>
                <w:color w:val="auto"/>
                <w:highlight w:val="none"/>
                <w:lang w:val="en-US" w:eastAsia="zh-CN"/>
              </w:rPr>
              <w:t>4分</w:t>
            </w:r>
            <w:r>
              <w:rPr>
                <w:rFonts w:hint="eastAsia"/>
                <w:color w:val="auto"/>
                <w:highlight w:val="none"/>
                <w:lang w:eastAsia="zh-CN"/>
              </w:rPr>
              <w:t>）</w:t>
            </w:r>
            <w:r>
              <w:rPr>
                <w:rFonts w:hint="eastAsia"/>
                <w:color w:val="auto"/>
                <w:highlight w:val="none"/>
              </w:rPr>
              <w:t>：</w:t>
            </w:r>
          </w:p>
          <w:p>
            <w:pPr>
              <w:pageBreakBefore w:val="0"/>
              <w:numPr>
                <w:ilvl w:val="0"/>
                <w:numId w:val="0"/>
              </w:numPr>
              <w:kinsoku/>
              <w:wordWrap/>
              <w:overflowPunct/>
              <w:topLinePunct w:val="0"/>
              <w:autoSpaceDE/>
              <w:autoSpaceDN/>
              <w:bidi w:val="0"/>
              <w:adjustRightInd/>
              <w:spacing w:line="240" w:lineRule="auto"/>
              <w:jc w:val="left"/>
              <w:textAlignment w:val="auto"/>
              <w:rPr>
                <w:rFonts w:hint="eastAsia"/>
                <w:color w:val="auto"/>
                <w:highlight w:val="none"/>
              </w:rPr>
            </w:pPr>
            <w:r>
              <w:rPr>
                <w:rFonts w:hint="eastAsia"/>
                <w:color w:val="auto"/>
                <w:highlight w:val="none"/>
              </w:rPr>
              <w:t>投标人具有ISO 9001质量管理体系认证的，得</w:t>
            </w:r>
            <w:r>
              <w:rPr>
                <w:rFonts w:hint="eastAsia"/>
                <w:color w:val="auto"/>
                <w:highlight w:val="none"/>
                <w:lang w:val="en-US" w:eastAsia="zh-CN"/>
              </w:rPr>
              <w:t>1</w:t>
            </w:r>
            <w:r>
              <w:rPr>
                <w:rFonts w:hint="eastAsia"/>
                <w:color w:val="auto"/>
                <w:highlight w:val="none"/>
              </w:rPr>
              <w:t>分。</w:t>
            </w:r>
          </w:p>
          <w:p>
            <w:pPr>
              <w:pageBreakBefore w:val="0"/>
              <w:kinsoku/>
              <w:wordWrap/>
              <w:overflowPunct/>
              <w:topLinePunct w:val="0"/>
              <w:autoSpaceDE/>
              <w:autoSpaceDN/>
              <w:bidi w:val="0"/>
              <w:adjustRightInd/>
              <w:spacing w:line="240" w:lineRule="auto"/>
              <w:ind w:firstLine="28"/>
              <w:jc w:val="left"/>
              <w:textAlignment w:val="auto"/>
              <w:rPr>
                <w:rFonts w:hint="eastAsia"/>
                <w:color w:val="auto"/>
                <w:highlight w:val="none"/>
              </w:rPr>
            </w:pPr>
            <w:r>
              <w:rPr>
                <w:rFonts w:hint="eastAsia"/>
                <w:color w:val="auto"/>
                <w:highlight w:val="none"/>
              </w:rPr>
              <w:t>投标人具有ISO 20000信息技术服务管理体系认证的，得</w:t>
            </w:r>
            <w:r>
              <w:rPr>
                <w:rFonts w:hint="eastAsia"/>
                <w:color w:val="auto"/>
                <w:highlight w:val="none"/>
                <w:lang w:val="en-US" w:eastAsia="zh-CN"/>
              </w:rPr>
              <w:t>1</w:t>
            </w:r>
            <w:r>
              <w:rPr>
                <w:rFonts w:hint="eastAsia"/>
                <w:color w:val="auto"/>
                <w:highlight w:val="none"/>
              </w:rPr>
              <w:t>分。</w:t>
            </w:r>
          </w:p>
          <w:p>
            <w:pPr>
              <w:pageBreakBefore w:val="0"/>
              <w:kinsoku/>
              <w:wordWrap/>
              <w:overflowPunct/>
              <w:topLinePunct w:val="0"/>
              <w:autoSpaceDE/>
              <w:autoSpaceDN/>
              <w:bidi w:val="0"/>
              <w:adjustRightInd/>
              <w:spacing w:line="240" w:lineRule="auto"/>
              <w:ind w:firstLine="28"/>
              <w:jc w:val="left"/>
              <w:textAlignment w:val="auto"/>
              <w:rPr>
                <w:rFonts w:hint="eastAsia"/>
                <w:color w:val="auto"/>
                <w:highlight w:val="none"/>
              </w:rPr>
            </w:pPr>
            <w:r>
              <w:rPr>
                <w:rFonts w:hint="eastAsia"/>
                <w:color w:val="auto"/>
                <w:highlight w:val="none"/>
              </w:rPr>
              <w:t>投标人具有ISO 27001信息安全管理体系认证的，得</w:t>
            </w:r>
            <w:r>
              <w:rPr>
                <w:rFonts w:hint="eastAsia"/>
                <w:color w:val="auto"/>
                <w:highlight w:val="none"/>
                <w:lang w:val="en-US" w:eastAsia="zh-CN"/>
              </w:rPr>
              <w:t>1</w:t>
            </w:r>
            <w:r>
              <w:rPr>
                <w:rFonts w:hint="eastAsia"/>
                <w:color w:val="auto"/>
                <w:highlight w:val="none"/>
              </w:rPr>
              <w:t>分。</w:t>
            </w:r>
          </w:p>
          <w:p>
            <w:pPr>
              <w:pageBreakBefore w:val="0"/>
              <w:kinsoku/>
              <w:wordWrap/>
              <w:overflowPunct/>
              <w:topLinePunct w:val="0"/>
              <w:autoSpaceDE/>
              <w:autoSpaceDN/>
              <w:bidi w:val="0"/>
              <w:adjustRightInd/>
              <w:spacing w:line="240" w:lineRule="auto"/>
              <w:ind w:firstLine="28"/>
              <w:jc w:val="left"/>
              <w:textAlignment w:val="auto"/>
              <w:rPr>
                <w:rFonts w:hint="eastAsia"/>
                <w:color w:val="auto"/>
                <w:highlight w:val="none"/>
              </w:rPr>
            </w:pPr>
            <w:r>
              <w:rPr>
                <w:rFonts w:hint="eastAsia"/>
                <w:color w:val="auto"/>
                <w:highlight w:val="none"/>
              </w:rPr>
              <w:t>投标人具有ISO 27032网络空间安全管理体系认证证书，得</w:t>
            </w:r>
            <w:r>
              <w:rPr>
                <w:rFonts w:hint="eastAsia"/>
                <w:color w:val="auto"/>
                <w:highlight w:val="none"/>
                <w:lang w:val="en-US" w:eastAsia="zh-CN"/>
              </w:rPr>
              <w:t>1</w:t>
            </w:r>
            <w:r>
              <w:rPr>
                <w:rFonts w:hint="eastAsia"/>
                <w:color w:val="auto"/>
                <w:highlight w:val="none"/>
              </w:rPr>
              <w:t>分。</w:t>
            </w:r>
          </w:p>
          <w:p>
            <w:pPr>
              <w:pageBreakBefore w:val="0"/>
              <w:numPr>
                <w:ilvl w:val="0"/>
                <w:numId w:val="5"/>
              </w:numPr>
              <w:kinsoku/>
              <w:wordWrap/>
              <w:overflowPunct/>
              <w:topLinePunct w:val="0"/>
              <w:autoSpaceDE/>
              <w:autoSpaceDN/>
              <w:bidi w:val="0"/>
              <w:adjustRightInd/>
              <w:spacing w:line="240" w:lineRule="auto"/>
              <w:ind w:left="0" w:leftChars="0" w:firstLine="28" w:firstLineChars="0"/>
              <w:jc w:val="left"/>
              <w:textAlignment w:val="auto"/>
              <w:rPr>
                <w:rFonts w:hint="eastAsia" w:eastAsia="宋体" w:cs="Times New Roman"/>
                <w:color w:val="auto"/>
                <w:highlight w:val="none"/>
                <w:lang w:val="en-US" w:eastAsia="zh-CN"/>
              </w:rPr>
            </w:pPr>
            <w:r>
              <w:rPr>
                <w:rFonts w:hint="eastAsia" w:eastAsia="宋体" w:cs="Times New Roman"/>
                <w:color w:val="auto"/>
                <w:highlight w:val="none"/>
                <w:lang w:eastAsia="zh-CN"/>
              </w:rPr>
              <w:t>供应商或供应商母公司的全网 DDOS 防护系统</w:t>
            </w:r>
            <w:r>
              <w:rPr>
                <w:rFonts w:hint="eastAsia" w:eastAsia="宋体" w:cs="Times New Roman"/>
                <w:color w:val="auto"/>
                <w:highlight w:val="none"/>
              </w:rPr>
              <w:t>具备</w:t>
            </w:r>
            <w:r>
              <w:rPr>
                <w:rFonts w:hint="eastAsia" w:eastAsia="宋体" w:cs="Times New Roman"/>
                <w:color w:val="auto"/>
                <w:highlight w:val="none"/>
                <w:lang w:eastAsia="zh-CN"/>
              </w:rPr>
              <w:t>单节点防护能力</w:t>
            </w:r>
            <w:r>
              <w:rPr>
                <w:rFonts w:hint="eastAsia" w:eastAsia="宋体" w:cs="Times New Roman"/>
                <w:color w:val="auto"/>
                <w:highlight w:val="none"/>
                <w:lang w:val="en-US" w:eastAsia="zh-CN"/>
              </w:rPr>
              <w:t>要求（3分）：</w:t>
            </w:r>
          </w:p>
          <w:p>
            <w:pPr>
              <w:pStyle w:val="2"/>
              <w:pageBreakBefore w:val="0"/>
              <w:numPr>
                <w:ilvl w:val="0"/>
                <w:numId w:val="0"/>
              </w:numPr>
              <w:kinsoku/>
              <w:wordWrap/>
              <w:overflowPunct/>
              <w:topLinePunct w:val="0"/>
              <w:autoSpaceDE/>
              <w:autoSpaceDN/>
              <w:bidi w:val="0"/>
              <w:adjustRightInd/>
              <w:spacing w:line="240" w:lineRule="auto"/>
              <w:ind w:left="28" w:leftChars="0"/>
              <w:textAlignment w:val="auto"/>
              <w:rPr>
                <w:rFonts w:hint="default" w:ascii="Calibri" w:hAnsi="Calibri" w:eastAsia="宋体" w:cs="Times New Roman"/>
                <w:color w:val="auto"/>
                <w:kern w:val="2"/>
                <w:sz w:val="21"/>
                <w:szCs w:val="22"/>
                <w:highlight w:val="none"/>
                <w:lang w:val="en-US" w:eastAsia="zh-CN" w:bidi="ar-SA"/>
              </w:rPr>
            </w:pPr>
            <w:r>
              <w:rPr>
                <w:rFonts w:hint="eastAsia" w:ascii="Calibri" w:hAnsi="Calibri" w:eastAsia="宋体" w:cs="Times New Roman"/>
                <w:color w:val="auto"/>
                <w:kern w:val="2"/>
                <w:sz w:val="21"/>
                <w:szCs w:val="22"/>
                <w:highlight w:val="none"/>
                <w:lang w:val="en-US" w:eastAsia="zh-CN" w:bidi="ar-SA"/>
              </w:rPr>
              <w:t>单节点防护能力≥800G，得3分</w:t>
            </w:r>
          </w:p>
          <w:p>
            <w:pPr>
              <w:pageBreakBefore w:val="0"/>
              <w:kinsoku/>
              <w:wordWrap/>
              <w:overflowPunct/>
              <w:topLinePunct w:val="0"/>
              <w:autoSpaceDE/>
              <w:autoSpaceDN/>
              <w:bidi w:val="0"/>
              <w:adjustRightInd/>
              <w:spacing w:line="240" w:lineRule="auto"/>
              <w:jc w:val="left"/>
              <w:textAlignment w:val="auto"/>
              <w:rPr>
                <w:rFonts w:hint="eastAsia" w:ascii="Calibri" w:hAnsi="Calibri" w:eastAsia="宋体" w:cs="Times New Roman"/>
                <w:color w:val="auto"/>
                <w:kern w:val="2"/>
                <w:sz w:val="21"/>
                <w:szCs w:val="22"/>
                <w:highlight w:val="none"/>
                <w:lang w:val="en-US" w:eastAsia="zh-CN" w:bidi="ar-SA"/>
              </w:rPr>
            </w:pPr>
            <w:r>
              <w:rPr>
                <w:rFonts w:hint="eastAsia" w:ascii="Calibri" w:hAnsi="Calibri" w:eastAsia="宋体" w:cs="Times New Roman"/>
                <w:color w:val="auto"/>
                <w:kern w:val="2"/>
                <w:sz w:val="21"/>
                <w:szCs w:val="22"/>
                <w:highlight w:val="none"/>
                <w:lang w:val="en-US" w:eastAsia="zh-CN" w:bidi="ar-SA"/>
              </w:rPr>
              <w:t>800G＞单节点防护能力≥400G，得2分</w:t>
            </w:r>
          </w:p>
          <w:p>
            <w:pPr>
              <w:pStyle w:val="2"/>
              <w:pageBreakBefore w:val="0"/>
              <w:kinsoku/>
              <w:wordWrap/>
              <w:overflowPunct/>
              <w:topLinePunct w:val="0"/>
              <w:autoSpaceDE/>
              <w:autoSpaceDN/>
              <w:bidi w:val="0"/>
              <w:adjustRightInd/>
              <w:spacing w:line="240" w:lineRule="auto"/>
              <w:textAlignment w:val="auto"/>
              <w:rPr>
                <w:rFonts w:hint="default"/>
                <w:color w:val="auto"/>
                <w:highlight w:val="none"/>
                <w:lang w:val="en-US" w:eastAsia="zh-CN"/>
              </w:rPr>
            </w:pPr>
            <w:r>
              <w:rPr>
                <w:rFonts w:hint="eastAsia" w:ascii="Calibri" w:hAnsi="Calibri" w:eastAsia="宋体" w:cs="Times New Roman"/>
                <w:color w:val="auto"/>
                <w:kern w:val="2"/>
                <w:sz w:val="21"/>
                <w:szCs w:val="22"/>
                <w:highlight w:val="none"/>
                <w:lang w:val="en-US" w:eastAsia="zh-CN" w:bidi="ar-SA"/>
              </w:rPr>
              <w:t>400G＞单节点防护能力≥200G，得1分</w:t>
            </w:r>
          </w:p>
        </w:tc>
        <w:tc>
          <w:tcPr>
            <w:tcW w:w="197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（提供认证证书或检测报告复印件，并加盖公章）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3" w:hRule="atLeast"/>
        </w:trPr>
        <w:tc>
          <w:tcPr>
            <w:tcW w:w="328" w:type="dxa"/>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rFonts w:hint="eastAsia"/>
                <w:bCs/>
                <w:color w:val="auto"/>
                <w:highlight w:val="none"/>
              </w:rPr>
            </w:pPr>
          </w:p>
        </w:tc>
        <w:tc>
          <w:tcPr>
            <w:tcW w:w="1052" w:type="dxa"/>
            <w:vMerge w:val="continue"/>
            <w:vAlign w:val="center"/>
          </w:tcPr>
          <w:p>
            <w:pPr>
              <w:pageBreakBefore w:val="0"/>
              <w:kinsoku/>
              <w:wordWrap/>
              <w:overflowPunct/>
              <w:topLinePunct w:val="0"/>
              <w:autoSpaceDE/>
              <w:autoSpaceDN/>
              <w:bidi w:val="0"/>
              <w:adjustRightInd/>
              <w:spacing w:line="240" w:lineRule="auto"/>
              <w:ind w:firstLine="28"/>
              <w:jc w:val="center"/>
              <w:textAlignment w:val="auto"/>
              <w:rPr>
                <w:rFonts w:hint="eastAsia"/>
                <w:bCs/>
                <w:color w:val="auto"/>
                <w:highlight w:val="none"/>
              </w:rPr>
            </w:pPr>
          </w:p>
        </w:tc>
        <w:tc>
          <w:tcPr>
            <w:tcW w:w="720" w:type="dxa"/>
            <w:shd w:val="clear" w:color="auto" w:fill="auto"/>
            <w:vAlign w:val="center"/>
          </w:tcPr>
          <w:p>
            <w:pPr>
              <w:pageBreakBefore w:val="0"/>
              <w:kinsoku/>
              <w:wordWrap/>
              <w:overflowPunct/>
              <w:topLinePunct w:val="0"/>
              <w:autoSpaceDE/>
              <w:autoSpaceDN/>
              <w:bidi w:val="0"/>
              <w:adjustRightInd/>
              <w:spacing w:line="240" w:lineRule="auto"/>
              <w:ind w:firstLine="28" w:firstLineChars="0"/>
              <w:jc w:val="center"/>
              <w:textAlignment w:val="auto"/>
              <w:rPr>
                <w:rFonts w:hint="eastAsia" w:asciiTheme="minorHAnsi" w:hAnsiTheme="minorHAnsi" w:eastAsiaTheme="minorEastAsia" w:cstheme="minorBidi"/>
                <w:bCs/>
                <w:color w:val="auto"/>
                <w:kern w:val="2"/>
                <w:sz w:val="21"/>
                <w:szCs w:val="22"/>
                <w:highlight w:val="none"/>
                <w:lang w:val="en-US" w:eastAsia="zh-CN" w:bidi="ar-SA"/>
              </w:rPr>
            </w:pPr>
            <w:r>
              <w:rPr>
                <w:rFonts w:hint="eastAsia" w:asciiTheme="minorHAnsi" w:hAnsiTheme="minorHAnsi" w:cstheme="minorBidi"/>
                <w:bCs/>
                <w:color w:val="auto"/>
                <w:kern w:val="2"/>
                <w:szCs w:val="22"/>
                <w:highlight w:val="none"/>
              </w:rPr>
              <w:t>售后服务能力（</w:t>
            </w:r>
            <w:r>
              <w:rPr>
                <w:rFonts w:hint="eastAsia" w:asciiTheme="minorHAnsi" w:hAnsiTheme="minorHAnsi" w:cstheme="minorBidi"/>
                <w:bCs/>
                <w:color w:val="auto"/>
                <w:kern w:val="2"/>
                <w:szCs w:val="22"/>
                <w:highlight w:val="none"/>
                <w:lang w:val="en-US" w:eastAsia="zh-CN"/>
              </w:rPr>
              <w:t>3</w:t>
            </w:r>
            <w:r>
              <w:rPr>
                <w:rFonts w:hint="eastAsia" w:asciiTheme="minorHAnsi" w:hAnsiTheme="minorHAnsi" w:cstheme="minorBidi"/>
                <w:bCs/>
                <w:color w:val="auto"/>
                <w:kern w:val="2"/>
                <w:szCs w:val="22"/>
                <w:highlight w:val="none"/>
              </w:rPr>
              <w:t>分</w:t>
            </w:r>
            <w:r>
              <w:rPr>
                <w:rFonts w:hint="eastAsia" w:ascii="宋体" w:hAnsi="宋体" w:cs="宋体"/>
                <w:color w:val="auto"/>
                <w:kern w:val="0"/>
                <w:szCs w:val="21"/>
                <w:highlight w:val="none"/>
              </w:rPr>
              <w:t>）</w:t>
            </w:r>
          </w:p>
        </w:tc>
        <w:tc>
          <w:tcPr>
            <w:tcW w:w="4273" w:type="dxa"/>
            <w:shd w:val="clear" w:color="auto" w:fill="auto"/>
            <w:vAlign w:val="center"/>
          </w:tcPr>
          <w:p>
            <w:pPr>
              <w:outlineLvl w:val="9"/>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投标单位需</w:t>
            </w:r>
            <w:r>
              <w:rPr>
                <w:rFonts w:hint="eastAsia"/>
                <w:color w:val="auto"/>
                <w:highlight w:val="none"/>
              </w:rPr>
              <w:t>具有完善的售后服务体系</w:t>
            </w:r>
            <w:r>
              <w:rPr>
                <w:rFonts w:hint="eastAsia"/>
                <w:color w:val="auto"/>
                <w:highlight w:val="none"/>
                <w:lang w:eastAsia="zh-CN"/>
              </w:rPr>
              <w:t>，</w:t>
            </w:r>
            <w:r>
              <w:rPr>
                <w:rFonts w:hint="eastAsia" w:ascii="宋体" w:hAnsi="宋体" w:cs="宋体"/>
                <w:color w:val="auto"/>
                <w:kern w:val="0"/>
                <w:szCs w:val="21"/>
                <w:highlight w:val="none"/>
              </w:rPr>
              <w:t>结合</w:t>
            </w:r>
            <w:r>
              <w:rPr>
                <w:rFonts w:hint="eastAsia"/>
                <w:color w:val="auto"/>
                <w:highlight w:val="none"/>
              </w:rPr>
              <w:t>“售后服务内容”</w:t>
            </w:r>
            <w:r>
              <w:rPr>
                <w:rFonts w:hint="eastAsia"/>
                <w:color w:val="auto"/>
                <w:highlight w:val="none"/>
                <w:lang w:val="en-US" w:eastAsia="zh-CN"/>
              </w:rPr>
              <w:t>自行制作</w:t>
            </w:r>
            <w:r>
              <w:rPr>
                <w:rFonts w:hint="eastAsia"/>
                <w:color w:val="auto"/>
                <w:highlight w:val="none"/>
              </w:rPr>
              <w:t>售后服务方案</w:t>
            </w:r>
            <w:r>
              <w:rPr>
                <w:rFonts w:hint="eastAsia"/>
                <w:color w:val="auto"/>
                <w:highlight w:val="none"/>
                <w:lang w:eastAsia="zh-CN"/>
              </w:rPr>
              <w:t>。</w:t>
            </w:r>
            <w:r>
              <w:rPr>
                <w:rFonts w:hint="eastAsia" w:ascii="宋体" w:hAnsi="宋体" w:cs="宋体"/>
                <w:color w:val="auto"/>
                <w:kern w:val="0"/>
                <w:szCs w:val="21"/>
                <w:highlight w:val="none"/>
                <w:lang w:val="en-US" w:eastAsia="zh-CN"/>
              </w:rPr>
              <w:t>内容包含但不限于：</w:t>
            </w:r>
          </w:p>
          <w:p>
            <w:pPr>
              <w:outlineLvl w:val="9"/>
              <w:rPr>
                <w:rFonts w:hint="eastAsia"/>
                <w:color w:val="auto"/>
                <w:highlight w:val="none"/>
                <w:lang w:val="en-US" w:eastAsia="zh-CN"/>
              </w:rPr>
            </w:pPr>
            <w:r>
              <w:rPr>
                <w:rFonts w:hint="eastAsia"/>
                <w:color w:val="auto"/>
                <w:highlight w:val="none"/>
                <w:lang w:val="en-US" w:eastAsia="zh-CN"/>
              </w:rPr>
              <w:t>1.组织保障</w:t>
            </w:r>
          </w:p>
          <w:p>
            <w:pPr>
              <w:outlineLvl w:val="9"/>
              <w:rPr>
                <w:rFonts w:hint="default"/>
                <w:color w:val="auto"/>
                <w:highlight w:val="none"/>
                <w:lang w:val="en-US"/>
              </w:rPr>
            </w:pPr>
            <w:r>
              <w:rPr>
                <w:rFonts w:hint="eastAsia"/>
                <w:color w:val="auto"/>
                <w:highlight w:val="none"/>
                <w:lang w:val="en-US" w:eastAsia="zh-CN"/>
              </w:rPr>
              <w:t>2.业务日常巡检</w:t>
            </w:r>
          </w:p>
          <w:p>
            <w:pPr>
              <w:outlineLvl w:val="9"/>
              <w:rPr>
                <w:rFonts w:hint="eastAsia"/>
                <w:color w:val="auto"/>
                <w:highlight w:val="none"/>
                <w:lang w:val="en-US" w:eastAsia="zh-CN"/>
              </w:rPr>
            </w:pPr>
            <w:r>
              <w:rPr>
                <w:rFonts w:hint="eastAsia"/>
                <w:color w:val="auto"/>
                <w:highlight w:val="none"/>
                <w:lang w:val="en-US" w:eastAsia="zh-CN"/>
              </w:rPr>
              <w:t>3.技术咨询与支撑</w:t>
            </w:r>
          </w:p>
          <w:p>
            <w:pPr>
              <w:outlineLvl w:val="9"/>
              <w:rPr>
                <w:rFonts w:hint="eastAsia"/>
                <w:color w:val="auto"/>
                <w:highlight w:val="none"/>
              </w:rPr>
            </w:pPr>
            <w:r>
              <w:rPr>
                <w:rFonts w:hint="eastAsia"/>
                <w:color w:val="auto"/>
                <w:highlight w:val="none"/>
                <w:lang w:val="en-US" w:eastAsia="zh-CN"/>
              </w:rPr>
              <w:t>4.人员保障</w:t>
            </w:r>
          </w:p>
          <w:p>
            <w:pPr>
              <w:outlineLvl w:val="9"/>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评审标准：</w:t>
            </w:r>
          </w:p>
          <w:p>
            <w:pPr>
              <w:outlineLvl w:val="9"/>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方案包含上述所有内容的基础上，内容不存在瑕疵的得3分；</w:t>
            </w:r>
          </w:p>
          <w:p>
            <w:pPr>
              <w:outlineLvl w:val="9"/>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方案包含上述所有内容的基础上，内容存在1处瑕疵的得2分；</w:t>
            </w:r>
          </w:p>
          <w:p>
            <w:pPr>
              <w:pageBreakBefore w:val="0"/>
              <w:kinsoku/>
              <w:wordWrap/>
              <w:overflowPunct/>
              <w:topLinePunct w:val="0"/>
              <w:autoSpaceDE/>
              <w:autoSpaceDN/>
              <w:bidi w:val="0"/>
              <w:adjustRightInd/>
              <w:spacing w:line="240" w:lineRule="auto"/>
              <w:jc w:val="left"/>
              <w:textAlignment w:val="auto"/>
              <w:rPr>
                <w:rFonts w:hint="eastAsia" w:asciiTheme="minorHAnsi" w:hAnsiTheme="minorHAnsi" w:eastAsiaTheme="minorEastAsia" w:cstheme="minorBidi"/>
                <w:color w:val="auto"/>
                <w:kern w:val="2"/>
                <w:sz w:val="21"/>
                <w:szCs w:val="22"/>
                <w:highlight w:val="none"/>
                <w:lang w:val="en-US" w:eastAsia="zh-CN" w:bidi="ar-SA"/>
              </w:rPr>
            </w:pPr>
            <w:r>
              <w:rPr>
                <w:rFonts w:hint="eastAsia" w:ascii="宋体" w:hAnsi="宋体" w:cs="宋体"/>
                <w:color w:val="auto"/>
                <w:kern w:val="0"/>
                <w:szCs w:val="21"/>
                <w:highlight w:val="none"/>
                <w:lang w:val="en-US" w:eastAsia="zh-CN"/>
              </w:rPr>
              <w:t>方案包含上述内容不全或内容存在2处及以上瑕疵的或未提供得0分。</w:t>
            </w:r>
          </w:p>
        </w:tc>
        <w:tc>
          <w:tcPr>
            <w:tcW w:w="197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提供相关方案，格式自定。</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注：本项内容中所称的“瑕疵”为以下任1情形：</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①内容表述不完整；</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②售后服务方案不科学合理；</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③内容表述前后矛盾、无连贯性、内容存在逻辑漏洞；</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④常识性错误；</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⑤售后保障安排并不适用本包特性或非专门针对本包制定；</w:t>
            </w:r>
          </w:p>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lang w:val="en-US" w:eastAsia="zh-CN"/>
              </w:rPr>
            </w:pPr>
            <w:r>
              <w:rPr>
                <w:rFonts w:hint="eastAsia"/>
                <w:bCs/>
                <w:color w:val="auto"/>
                <w:highlight w:val="none"/>
                <w:lang w:val="en-US" w:eastAsia="zh-CN"/>
              </w:rPr>
              <w:t>⑥方案中提出的保障举措不利于本包目标的实现；</w:t>
            </w:r>
          </w:p>
          <w:p>
            <w:pPr>
              <w:pageBreakBefore w:val="0"/>
              <w:kinsoku/>
              <w:wordWrap/>
              <w:overflowPunct/>
              <w:topLinePunct w:val="0"/>
              <w:autoSpaceDE/>
              <w:autoSpaceDN/>
              <w:bidi w:val="0"/>
              <w:adjustRightInd/>
              <w:spacing w:line="240" w:lineRule="auto"/>
              <w:ind w:firstLine="28"/>
              <w:jc w:val="left"/>
              <w:textAlignment w:val="auto"/>
              <w:rPr>
                <w:rFonts w:hint="eastAsia" w:ascii="宋体" w:hAnsi="宋体" w:cs="宋体"/>
                <w:color w:val="auto"/>
                <w:sz w:val="24"/>
                <w:szCs w:val="24"/>
                <w:highlight w:val="none"/>
                <w:lang w:val="en-US" w:eastAsia="zh-CN"/>
              </w:rPr>
            </w:pPr>
            <w:r>
              <w:rPr>
                <w:rFonts w:hint="eastAsia"/>
                <w:bCs/>
                <w:color w:val="auto"/>
                <w:highlight w:val="none"/>
                <w:lang w:val="en-US" w:eastAsia="zh-CN"/>
              </w:rPr>
              <w:t>（方案中任1处存在上述任意1种情形为1处瑕疵）。</w:t>
            </w:r>
          </w:p>
        </w:tc>
      </w:tr>
    </w:tbl>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lang w:val="en-US" w:eastAsia="zh-CN"/>
        </w:rPr>
      </w:pP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出现以下情况之一的，应重新组织采购：</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（1）出现影响采购公正的违法、违规行为的；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投标单位</w:t>
      </w:r>
      <w:r>
        <w:rPr>
          <w:rFonts w:hint="eastAsia" w:asciiTheme="minorEastAsia" w:hAnsiTheme="minorEastAsia" w:eastAsiaTheme="minorEastAsia" w:cstheme="minorEastAsia"/>
          <w:color w:val="auto"/>
          <w:sz w:val="24"/>
          <w:szCs w:val="24"/>
          <w:highlight w:val="none"/>
        </w:rPr>
        <w:t>的报价均超过了采购预算，采购</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不能支付的；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（3）因不可抗力导致重大变故，采购任务取消的。</w:t>
      </w:r>
    </w:p>
    <w:p>
      <w:pPr>
        <w:pStyle w:val="5"/>
        <w:pageBreakBefore w:val="0"/>
        <w:kinsoku/>
        <w:wordWrap/>
        <w:overflowPunct/>
        <w:topLinePunct w:val="0"/>
        <w:autoSpaceDE/>
        <w:autoSpaceDN/>
        <w:bidi w:val="0"/>
        <w:adjustRightInd/>
        <w:spacing w:line="460" w:lineRule="exact"/>
        <w:textAlignment w:val="auto"/>
        <w:rPr>
          <w:rStyle w:val="11"/>
          <w:rFonts w:hint="eastAsia"/>
          <w:color w:val="FF0000"/>
          <w:highlight w:val="none"/>
          <w:lang w:val="en-US" w:eastAsia="zh-CN"/>
        </w:rPr>
      </w:pPr>
      <w:r>
        <w:rPr>
          <w:rStyle w:val="11"/>
          <w:rFonts w:hint="eastAsia"/>
          <w:color w:val="FF0000"/>
          <w:highlight w:val="none"/>
          <w:lang w:val="en-US" w:eastAsia="zh-CN"/>
        </w:rPr>
        <w:t xml:space="preserve">九、采购异常低价处理 </w:t>
      </w:r>
    </w:p>
    <w:p>
      <w:pPr>
        <w:keepNext w:val="0"/>
        <w:keepLines w:val="0"/>
        <w:widowControl/>
        <w:suppressLineNumbers w:val="0"/>
        <w:ind w:firstLine="480" w:firstLineChars="200"/>
        <w:jc w:val="left"/>
        <w:rPr>
          <w:color w:val="FF0000"/>
          <w:highlight w:val="none"/>
        </w:rPr>
      </w:pPr>
      <w:r>
        <w:rPr>
          <w:rFonts w:hint="eastAsia" w:ascii="宋体" w:hAnsi="宋体" w:eastAsia="宋体" w:cs="宋体"/>
          <w:color w:val="FF0000"/>
          <w:kern w:val="0"/>
          <w:sz w:val="24"/>
          <w:szCs w:val="24"/>
          <w:highlight w:val="none"/>
          <w:lang w:val="en-US" w:eastAsia="zh-CN" w:bidi="ar"/>
        </w:rPr>
        <w:t xml:space="preserve">（一）采购评审中出现下列情形之一的，应当启动异常低价投标（响应）审查程序： </w:t>
      </w:r>
    </w:p>
    <w:p>
      <w:pPr>
        <w:keepNext w:val="0"/>
        <w:keepLines w:val="0"/>
        <w:widowControl/>
        <w:suppressLineNumbers w:val="0"/>
        <w:ind w:firstLine="480" w:firstLineChars="200"/>
        <w:jc w:val="left"/>
        <w:rPr>
          <w:color w:val="FF0000"/>
          <w:highlight w:val="none"/>
        </w:rPr>
      </w:pPr>
      <w:r>
        <w:rPr>
          <w:rFonts w:hint="eastAsia" w:ascii="宋体" w:hAnsi="宋体" w:eastAsia="宋体" w:cs="宋体"/>
          <w:color w:val="FF0000"/>
          <w:kern w:val="0"/>
          <w:sz w:val="24"/>
          <w:szCs w:val="24"/>
          <w:highlight w:val="none"/>
          <w:lang w:val="en-US" w:eastAsia="zh-CN" w:bidi="ar"/>
        </w:rPr>
        <w:t>1.投标（响应）报价低于全部通过符合性审查供应商投标（响应）报价平均值</w:t>
      </w:r>
      <w:r>
        <w:rPr>
          <w:rFonts w:hint="eastAsia" w:ascii="宋体" w:hAnsi="宋体" w:cs="宋体"/>
          <w:color w:val="FF0000"/>
          <w:kern w:val="0"/>
          <w:sz w:val="24"/>
          <w:szCs w:val="24"/>
          <w:highlight w:val="none"/>
          <w:lang w:val="en-US" w:eastAsia="zh-CN" w:bidi="ar"/>
        </w:rPr>
        <w:t>65</w:t>
      </w:r>
      <w:r>
        <w:rPr>
          <w:rFonts w:hint="eastAsia" w:ascii="宋体" w:hAnsi="宋体" w:eastAsia="宋体" w:cs="宋体"/>
          <w:color w:val="FF0000"/>
          <w:kern w:val="0"/>
          <w:sz w:val="24"/>
          <w:szCs w:val="24"/>
          <w:highlight w:val="none"/>
          <w:lang w:val="en-US" w:eastAsia="zh-CN" w:bidi="ar"/>
        </w:rPr>
        <w:t>%的，即投标（响应）报价&lt;全部通过符合性审查供应商投标（响应）报价平均值×</w:t>
      </w:r>
      <w:r>
        <w:rPr>
          <w:rFonts w:hint="eastAsia" w:ascii="宋体" w:hAnsi="宋体" w:cs="宋体"/>
          <w:color w:val="FF0000"/>
          <w:kern w:val="0"/>
          <w:sz w:val="24"/>
          <w:szCs w:val="24"/>
          <w:highlight w:val="none"/>
          <w:lang w:val="en-US" w:eastAsia="zh-CN" w:bidi="ar"/>
        </w:rPr>
        <w:t>65</w:t>
      </w:r>
      <w:r>
        <w:rPr>
          <w:rFonts w:hint="eastAsia" w:ascii="宋体" w:hAnsi="宋体" w:eastAsia="宋体" w:cs="宋体"/>
          <w:color w:val="FF0000"/>
          <w:kern w:val="0"/>
          <w:sz w:val="24"/>
          <w:szCs w:val="24"/>
          <w:highlight w:val="none"/>
          <w:lang w:val="en-US" w:eastAsia="zh-CN" w:bidi="ar"/>
        </w:rPr>
        <w:t xml:space="preserve">%； </w:t>
      </w:r>
    </w:p>
    <w:p>
      <w:pPr>
        <w:keepNext w:val="0"/>
        <w:keepLines w:val="0"/>
        <w:widowControl/>
        <w:suppressLineNumbers w:val="0"/>
        <w:ind w:firstLine="480" w:firstLineChars="200"/>
        <w:jc w:val="left"/>
        <w:rPr>
          <w:color w:val="FF0000"/>
          <w:highlight w:val="none"/>
        </w:rPr>
      </w:pPr>
      <w:r>
        <w:rPr>
          <w:rFonts w:hint="eastAsia" w:ascii="宋体" w:hAnsi="宋体" w:eastAsia="宋体" w:cs="宋体"/>
          <w:color w:val="FF0000"/>
          <w:kern w:val="0"/>
          <w:sz w:val="24"/>
          <w:szCs w:val="24"/>
          <w:highlight w:val="none"/>
          <w:lang w:val="en-US" w:eastAsia="zh-CN" w:bidi="ar"/>
        </w:rPr>
        <w:t>2.投标（响应）报价低于通过符合性审查的次低报价供应商投标（响应）报价</w:t>
      </w:r>
      <w:r>
        <w:rPr>
          <w:rFonts w:hint="eastAsia" w:ascii="宋体" w:hAnsi="宋体" w:cs="宋体"/>
          <w:color w:val="FF0000"/>
          <w:kern w:val="0"/>
          <w:sz w:val="24"/>
          <w:szCs w:val="24"/>
          <w:highlight w:val="none"/>
          <w:lang w:val="en-US" w:eastAsia="zh-CN" w:bidi="ar"/>
        </w:rPr>
        <w:t>65</w:t>
      </w:r>
      <w:r>
        <w:rPr>
          <w:rFonts w:hint="eastAsia" w:ascii="宋体" w:hAnsi="宋体" w:eastAsia="宋体" w:cs="宋体"/>
          <w:color w:val="FF0000"/>
          <w:kern w:val="0"/>
          <w:sz w:val="24"/>
          <w:szCs w:val="24"/>
          <w:highlight w:val="none"/>
          <w:lang w:val="en-US" w:eastAsia="zh-CN" w:bidi="ar"/>
        </w:rPr>
        <w:t>%的，即投标（响应）报价&lt;通过符合性审查的次低报价供应商投标（响应）报价×</w:t>
      </w:r>
      <w:r>
        <w:rPr>
          <w:rFonts w:hint="eastAsia" w:ascii="宋体" w:hAnsi="宋体" w:cs="宋体"/>
          <w:color w:val="FF0000"/>
          <w:kern w:val="0"/>
          <w:sz w:val="24"/>
          <w:szCs w:val="24"/>
          <w:highlight w:val="none"/>
          <w:lang w:val="en-US" w:eastAsia="zh-CN" w:bidi="ar"/>
        </w:rPr>
        <w:t>65</w:t>
      </w:r>
      <w:r>
        <w:rPr>
          <w:rFonts w:hint="eastAsia" w:ascii="宋体" w:hAnsi="宋体" w:eastAsia="宋体" w:cs="宋体"/>
          <w:color w:val="FF0000"/>
          <w:kern w:val="0"/>
          <w:sz w:val="24"/>
          <w:szCs w:val="24"/>
          <w:highlight w:val="none"/>
          <w:lang w:val="en-US" w:eastAsia="zh-CN" w:bidi="ar"/>
        </w:rPr>
        <w:t xml:space="preserve">%； </w:t>
      </w:r>
    </w:p>
    <w:p>
      <w:pPr>
        <w:keepNext w:val="0"/>
        <w:keepLines w:val="0"/>
        <w:widowControl/>
        <w:suppressLineNumbers w:val="0"/>
        <w:jc w:val="left"/>
        <w:rPr>
          <w:color w:val="FF0000"/>
          <w:highlight w:val="none"/>
        </w:rPr>
      </w:pPr>
      <w:r>
        <w:rPr>
          <w:rFonts w:hint="eastAsia" w:ascii="宋体" w:hAnsi="宋体" w:eastAsia="宋体" w:cs="宋体"/>
          <w:color w:val="FF0000"/>
          <w:kern w:val="0"/>
          <w:sz w:val="24"/>
          <w:szCs w:val="24"/>
          <w:highlight w:val="none"/>
          <w:lang w:val="en-US" w:eastAsia="zh-CN" w:bidi="ar"/>
        </w:rPr>
        <w:t xml:space="preserve">  3.投标（响应）报价低于采购项目最高限价</w:t>
      </w:r>
      <w:r>
        <w:rPr>
          <w:rFonts w:hint="eastAsia" w:ascii="宋体" w:hAnsi="宋体" w:cs="宋体"/>
          <w:color w:val="FF0000"/>
          <w:kern w:val="0"/>
          <w:sz w:val="24"/>
          <w:szCs w:val="24"/>
          <w:highlight w:val="none"/>
          <w:lang w:val="en-US" w:eastAsia="zh-CN" w:bidi="ar"/>
        </w:rPr>
        <w:t>65</w:t>
      </w:r>
      <w:r>
        <w:rPr>
          <w:rFonts w:hint="eastAsia" w:ascii="宋体" w:hAnsi="宋体" w:eastAsia="宋体" w:cs="宋体"/>
          <w:color w:val="FF0000"/>
          <w:kern w:val="0"/>
          <w:sz w:val="24"/>
          <w:szCs w:val="24"/>
          <w:highlight w:val="none"/>
          <w:lang w:val="en-US" w:eastAsia="zh-CN" w:bidi="ar"/>
        </w:rPr>
        <w:t>%的，即投标（响应）报价&lt;采购项目最高限价×</w:t>
      </w:r>
      <w:r>
        <w:rPr>
          <w:rFonts w:hint="eastAsia" w:ascii="宋体" w:hAnsi="宋体" w:cs="宋体"/>
          <w:color w:val="FF0000"/>
          <w:kern w:val="0"/>
          <w:sz w:val="24"/>
          <w:szCs w:val="24"/>
          <w:highlight w:val="none"/>
          <w:lang w:val="en-US" w:eastAsia="zh-CN" w:bidi="ar"/>
        </w:rPr>
        <w:t>65</w:t>
      </w:r>
      <w:r>
        <w:rPr>
          <w:rFonts w:hint="eastAsia" w:ascii="宋体" w:hAnsi="宋体" w:eastAsia="宋体" w:cs="宋体"/>
          <w:color w:val="FF0000"/>
          <w:kern w:val="0"/>
          <w:sz w:val="24"/>
          <w:szCs w:val="24"/>
          <w:highlight w:val="none"/>
          <w:lang w:val="en-US" w:eastAsia="zh-CN" w:bidi="ar"/>
        </w:rPr>
        <w:t xml:space="preserve">%； </w:t>
      </w:r>
    </w:p>
    <w:p>
      <w:pPr>
        <w:keepNext w:val="0"/>
        <w:keepLines w:val="0"/>
        <w:widowControl/>
        <w:suppressLineNumbers w:val="0"/>
        <w:jc w:val="left"/>
        <w:rPr>
          <w:color w:val="FF0000"/>
          <w:highlight w:val="none"/>
        </w:rPr>
      </w:pPr>
      <w:r>
        <w:rPr>
          <w:rFonts w:hint="eastAsia" w:ascii="宋体" w:hAnsi="宋体" w:eastAsia="宋体" w:cs="宋体"/>
          <w:color w:val="FF0000"/>
          <w:kern w:val="0"/>
          <w:sz w:val="24"/>
          <w:szCs w:val="24"/>
          <w:highlight w:val="none"/>
          <w:lang w:val="en-US" w:eastAsia="zh-CN" w:bidi="ar"/>
        </w:rPr>
        <w:t xml:space="preserve">  4.评审</w:t>
      </w:r>
      <w:r>
        <w:rPr>
          <w:rFonts w:hint="eastAsia" w:ascii="宋体" w:hAnsi="宋体" w:cs="宋体"/>
          <w:color w:val="FF0000"/>
          <w:kern w:val="0"/>
          <w:sz w:val="24"/>
          <w:szCs w:val="24"/>
          <w:highlight w:val="none"/>
          <w:lang w:val="en-US" w:eastAsia="zh-CN" w:bidi="ar"/>
        </w:rPr>
        <w:t>专家</w:t>
      </w:r>
      <w:r>
        <w:rPr>
          <w:rFonts w:hint="eastAsia" w:ascii="宋体" w:hAnsi="宋体" w:eastAsia="宋体" w:cs="宋体"/>
          <w:color w:val="FF0000"/>
          <w:kern w:val="0"/>
          <w:sz w:val="24"/>
          <w:szCs w:val="24"/>
          <w:highlight w:val="none"/>
          <w:lang w:val="en-US" w:eastAsia="zh-CN" w:bidi="ar"/>
        </w:rPr>
        <w:t xml:space="preserve">基于专业判断，认为供应商报价过低，有可能影响产品质量或者不能诚信履约的其他情形。 </w:t>
      </w:r>
    </w:p>
    <w:p>
      <w:pPr>
        <w:keepNext w:val="0"/>
        <w:keepLines w:val="0"/>
        <w:widowControl/>
        <w:suppressLineNumbers w:val="0"/>
        <w:ind w:firstLine="480" w:firstLineChars="200"/>
        <w:jc w:val="left"/>
        <w:rPr>
          <w:color w:val="FF0000"/>
          <w:highlight w:val="none"/>
        </w:rPr>
      </w:pPr>
      <w:r>
        <w:rPr>
          <w:rFonts w:hint="eastAsia" w:ascii="宋体" w:hAnsi="宋体" w:eastAsia="宋体" w:cs="宋体"/>
          <w:color w:val="FF0000"/>
          <w:kern w:val="0"/>
          <w:sz w:val="24"/>
          <w:szCs w:val="24"/>
          <w:highlight w:val="none"/>
          <w:lang w:val="en-US" w:eastAsia="zh-CN" w:bidi="ar"/>
        </w:rPr>
        <w:t>（二）评审</w:t>
      </w:r>
      <w:r>
        <w:rPr>
          <w:rFonts w:hint="eastAsia" w:ascii="宋体" w:hAnsi="宋体" w:cs="宋体"/>
          <w:color w:val="FF0000"/>
          <w:kern w:val="0"/>
          <w:sz w:val="24"/>
          <w:szCs w:val="24"/>
          <w:highlight w:val="none"/>
          <w:lang w:val="en-US" w:eastAsia="zh-CN" w:bidi="ar"/>
        </w:rPr>
        <w:t>专家</w:t>
      </w:r>
      <w:r>
        <w:rPr>
          <w:rFonts w:hint="eastAsia" w:ascii="宋体" w:hAnsi="宋体" w:eastAsia="宋体" w:cs="宋体"/>
          <w:color w:val="FF0000"/>
          <w:kern w:val="0"/>
          <w:sz w:val="24"/>
          <w:szCs w:val="24"/>
          <w:highlight w:val="none"/>
          <w:lang w:val="en-US" w:eastAsia="zh-CN" w:bidi="ar"/>
        </w:rPr>
        <w:t>启动异常低价投标（响应）审查后，属于前述第1项至第4项情形的，应当要求相关供应商在评审现场合理的时间内对投标（响应）价格作出解释</w:t>
      </w:r>
      <w:r>
        <w:rPr>
          <w:rFonts w:hint="eastAsia" w:ascii="宋体" w:hAnsi="宋体" w:cs="宋体"/>
          <w:color w:val="FF0000"/>
          <w:kern w:val="0"/>
          <w:sz w:val="24"/>
          <w:szCs w:val="24"/>
          <w:highlight w:val="none"/>
          <w:lang w:val="en-US" w:eastAsia="zh-CN" w:bidi="ar"/>
        </w:rPr>
        <w:t>，并</w:t>
      </w:r>
      <w:r>
        <w:rPr>
          <w:rFonts w:hint="eastAsia" w:ascii="宋体" w:hAnsi="宋体" w:eastAsia="宋体" w:cs="宋体"/>
          <w:color w:val="FF0000"/>
          <w:kern w:val="0"/>
          <w:sz w:val="24"/>
          <w:szCs w:val="24"/>
          <w:highlight w:val="none"/>
          <w:lang w:val="en-US" w:eastAsia="zh-CN" w:bidi="ar"/>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keepNext w:val="0"/>
        <w:keepLines w:val="0"/>
        <w:widowControl/>
        <w:suppressLineNumbers w:val="0"/>
        <w:jc w:val="left"/>
        <w:rPr>
          <w:color w:val="FF0000"/>
          <w:highlight w:val="none"/>
        </w:rPr>
      </w:pPr>
      <w:r>
        <w:rPr>
          <w:rFonts w:hint="eastAsia" w:ascii="宋体" w:hAnsi="宋体" w:eastAsia="宋体" w:cs="宋体"/>
          <w:color w:val="FF0000"/>
          <w:kern w:val="0"/>
          <w:sz w:val="24"/>
          <w:szCs w:val="24"/>
          <w:highlight w:val="none"/>
          <w:lang w:val="en-US" w:eastAsia="zh-CN" w:bidi="ar"/>
        </w:rPr>
        <w:t>评审</w:t>
      </w:r>
      <w:r>
        <w:rPr>
          <w:rFonts w:hint="eastAsia" w:ascii="宋体" w:hAnsi="宋体" w:cs="宋体"/>
          <w:color w:val="FF0000"/>
          <w:kern w:val="0"/>
          <w:sz w:val="24"/>
          <w:szCs w:val="24"/>
          <w:highlight w:val="none"/>
          <w:lang w:val="en-US" w:eastAsia="zh-CN" w:bidi="ar"/>
        </w:rPr>
        <w:t>专家</w:t>
      </w:r>
      <w:r>
        <w:rPr>
          <w:rFonts w:hint="eastAsia" w:ascii="宋体" w:hAnsi="宋体" w:eastAsia="宋体" w:cs="宋体"/>
          <w:color w:val="FF0000"/>
          <w:kern w:val="0"/>
          <w:sz w:val="24"/>
          <w:szCs w:val="24"/>
          <w:highlight w:val="none"/>
          <w:lang w:val="en-US" w:eastAsia="zh-CN" w:bidi="ar"/>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keepNext w:val="0"/>
        <w:keepLines w:val="0"/>
        <w:widowControl/>
        <w:suppressLineNumbers w:val="0"/>
        <w:ind w:firstLine="480" w:firstLineChars="200"/>
        <w:jc w:val="left"/>
        <w:rPr>
          <w:rFonts w:hint="eastAsia" w:asciiTheme="minorEastAsia" w:hAnsiTheme="minorEastAsia" w:eastAsiaTheme="minorEastAsia" w:cstheme="minorEastAsia"/>
          <w:color w:val="FF0000"/>
          <w:sz w:val="24"/>
          <w:szCs w:val="24"/>
          <w:highlight w:val="none"/>
        </w:rPr>
      </w:pPr>
      <w:r>
        <w:rPr>
          <w:rFonts w:hint="eastAsia" w:ascii="宋体" w:hAnsi="宋体" w:eastAsia="宋体" w:cs="宋体"/>
          <w:color w:val="FF0000"/>
          <w:kern w:val="0"/>
          <w:sz w:val="24"/>
          <w:szCs w:val="24"/>
          <w:highlight w:val="none"/>
          <w:lang w:val="en-US" w:eastAsia="zh-CN" w:bidi="ar"/>
        </w:rPr>
        <w:t>采购人、采购代理机构应当为评审</w:t>
      </w:r>
      <w:r>
        <w:rPr>
          <w:rFonts w:hint="eastAsia" w:ascii="宋体" w:hAnsi="宋体" w:cs="宋体"/>
          <w:color w:val="FF0000"/>
          <w:kern w:val="0"/>
          <w:sz w:val="24"/>
          <w:szCs w:val="24"/>
          <w:highlight w:val="none"/>
          <w:lang w:val="en-US" w:eastAsia="zh-CN" w:bidi="ar"/>
        </w:rPr>
        <w:t>专家</w:t>
      </w:r>
      <w:r>
        <w:rPr>
          <w:rFonts w:hint="eastAsia" w:ascii="宋体" w:hAnsi="宋体" w:eastAsia="宋体" w:cs="宋体"/>
          <w:color w:val="FF0000"/>
          <w:kern w:val="0"/>
          <w:sz w:val="24"/>
          <w:szCs w:val="24"/>
          <w:highlight w:val="none"/>
          <w:lang w:val="en-US" w:eastAsia="zh-CN" w:bidi="ar"/>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FF0000"/>
          <w:kern w:val="0"/>
          <w:sz w:val="24"/>
          <w:szCs w:val="24"/>
          <w:highlight w:val="none"/>
          <w:lang w:val="en-US" w:eastAsia="zh-CN" w:bidi="ar"/>
        </w:rPr>
        <w:t>信息</w:t>
      </w:r>
      <w:r>
        <w:rPr>
          <w:rFonts w:hint="eastAsia" w:ascii="宋体" w:hAnsi="宋体" w:eastAsia="宋体" w:cs="宋体"/>
          <w:color w:val="FF0000"/>
          <w:kern w:val="0"/>
          <w:sz w:val="24"/>
          <w:szCs w:val="24"/>
          <w:highlight w:val="none"/>
          <w:lang w:val="en-US" w:eastAsia="zh-CN" w:bidi="ar"/>
        </w:rPr>
        <w:t xml:space="preserve">的，应当严格遵守评审工作纪律，不得实施影响评审公正的行为。 </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val="en-US" w:eastAsia="zh-CN"/>
        </w:rPr>
      </w:pPr>
      <w:bookmarkStart w:id="13" w:name="_Toc187655633"/>
      <w:bookmarkStart w:id="14" w:name="_Toc102227321"/>
      <w:bookmarkStart w:id="15" w:name="_Toc372538157"/>
      <w:r>
        <w:rPr>
          <w:rStyle w:val="11"/>
          <w:rFonts w:hint="eastAsia"/>
          <w:color w:val="auto"/>
          <w:highlight w:val="none"/>
          <w:lang w:val="en-US" w:eastAsia="zh-CN"/>
        </w:rPr>
        <w:t>十、成交通知</w:t>
      </w:r>
      <w:bookmarkEnd w:id="13"/>
      <w:bookmarkEnd w:id="14"/>
      <w:bookmarkEnd w:id="15"/>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采购单位</w:t>
      </w:r>
      <w:r>
        <w:rPr>
          <w:rFonts w:hint="eastAsia" w:asciiTheme="minorEastAsia" w:hAnsiTheme="minorEastAsia" w:eastAsiaTheme="minorEastAsia" w:cstheme="minorEastAsia"/>
          <w:color w:val="auto"/>
          <w:sz w:val="24"/>
          <w:szCs w:val="24"/>
          <w:highlight w:val="none"/>
        </w:rPr>
        <w:t>将以书面形式发出《</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通知书》。《</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通知书》一经发出即发生法律效力。</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通知书》将作为签订合同的依据。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3、签订合同时，采购单位根据需要有权提出对技术条件发生变化的货物、服务或者工程作局部调整或变更数量，但需经双方共同认定。</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val="en-US" w:eastAsia="zh-CN"/>
        </w:rPr>
      </w:pPr>
      <w:bookmarkStart w:id="16" w:name="_Toc102227322"/>
      <w:bookmarkStart w:id="17" w:name="_Toc372538158"/>
      <w:bookmarkStart w:id="18" w:name="_Toc187655634"/>
      <w:r>
        <w:rPr>
          <w:rStyle w:val="11"/>
          <w:rFonts w:hint="eastAsia"/>
          <w:color w:val="auto"/>
          <w:highlight w:val="none"/>
          <w:lang w:val="en-US" w:eastAsia="zh-CN"/>
        </w:rPr>
        <w:t>十一、签订</w:t>
      </w:r>
      <w:bookmarkEnd w:id="16"/>
      <w:r>
        <w:rPr>
          <w:rStyle w:val="11"/>
          <w:rFonts w:hint="eastAsia"/>
          <w:color w:val="auto"/>
          <w:highlight w:val="none"/>
          <w:lang w:val="en-US" w:eastAsia="zh-CN"/>
        </w:rPr>
        <w:t>合同</w:t>
      </w:r>
      <w:bookmarkEnd w:id="17"/>
      <w:bookmarkEnd w:id="18"/>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1、中标单位按《中标通知书》指定时间、地点与采购单位签订采购合同。</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2、本询比文件、中标单位的投标文件及有效承诺文件等，均为签订合同的依据。</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val="en-US" w:eastAsia="zh-CN"/>
        </w:rPr>
      </w:pPr>
      <w:r>
        <w:rPr>
          <w:rStyle w:val="11"/>
          <w:rFonts w:hint="eastAsia"/>
          <w:color w:val="auto"/>
          <w:highlight w:val="none"/>
          <w:lang w:val="en-US" w:eastAsia="zh-CN"/>
        </w:rPr>
        <w:t>十二、采购执行</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宋体" w:hAnsi="宋体" w:cs="Arial"/>
          <w:color w:val="auto"/>
          <w:sz w:val="24"/>
          <w:szCs w:val="24"/>
          <w:highlight w:val="none"/>
          <w:lang w:val="en-US" w:eastAsia="zh-CN"/>
        </w:rPr>
        <w:t>1、投标单位中标后，应按照本</w:t>
      </w:r>
      <w:r>
        <w:rPr>
          <w:rFonts w:hint="eastAsia" w:ascii="宋体" w:hAnsi="宋体" w:cs="Arial"/>
          <w:color w:val="auto"/>
          <w:sz w:val="24"/>
          <w:szCs w:val="24"/>
          <w:highlight w:val="none"/>
        </w:rPr>
        <w:t>询</w:t>
      </w:r>
      <w:r>
        <w:rPr>
          <w:rFonts w:hint="eastAsia" w:ascii="宋体" w:hAnsi="宋体" w:cs="Arial"/>
          <w:color w:val="auto"/>
          <w:sz w:val="24"/>
          <w:szCs w:val="24"/>
          <w:highlight w:val="none"/>
          <w:lang w:eastAsia="zh-CN"/>
        </w:rPr>
        <w:t>比</w:t>
      </w:r>
      <w:r>
        <w:rPr>
          <w:rFonts w:hint="eastAsia" w:ascii="宋体" w:hAnsi="宋体" w:cs="Arial"/>
          <w:color w:val="auto"/>
          <w:sz w:val="24"/>
          <w:szCs w:val="24"/>
          <w:highlight w:val="none"/>
          <w:lang w:val="en-US" w:eastAsia="zh-CN"/>
        </w:rPr>
        <w:t>文件要求在中标通知书发出之日起30日内和采购单位签订合同，保质保量完成采购任务；</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highlight w:val="none"/>
          <w:lang w:val="en-US" w:eastAsia="zh-CN"/>
        </w:rPr>
      </w:pPr>
      <w:r>
        <w:rPr>
          <w:rFonts w:hint="eastAsia" w:ascii="宋体" w:hAnsi="宋体" w:cs="Arial"/>
          <w:color w:val="auto"/>
          <w:sz w:val="24"/>
          <w:szCs w:val="24"/>
          <w:highlight w:val="none"/>
          <w:lang w:val="en-US" w:eastAsia="zh-CN"/>
        </w:rPr>
        <w:t xml:space="preserve">   2、本</w:t>
      </w:r>
      <w:r>
        <w:rPr>
          <w:rFonts w:hint="eastAsia" w:ascii="宋体" w:hAnsi="宋体" w:cs="Arial"/>
          <w:color w:val="auto"/>
          <w:sz w:val="24"/>
          <w:szCs w:val="24"/>
          <w:highlight w:val="none"/>
        </w:rPr>
        <w:t>询</w:t>
      </w:r>
      <w:r>
        <w:rPr>
          <w:rFonts w:hint="eastAsia" w:ascii="宋体" w:hAnsi="宋体" w:cs="Arial"/>
          <w:color w:val="auto"/>
          <w:sz w:val="24"/>
          <w:szCs w:val="24"/>
          <w:highlight w:val="none"/>
          <w:lang w:eastAsia="zh-CN"/>
        </w:rPr>
        <w:t>比</w:t>
      </w:r>
      <w:r>
        <w:rPr>
          <w:rFonts w:hint="eastAsia" w:ascii="宋体" w:hAnsi="宋体" w:cs="Arial"/>
          <w:color w:val="auto"/>
          <w:sz w:val="24"/>
          <w:szCs w:val="24"/>
          <w:highlight w:val="none"/>
          <w:lang w:val="en-US" w:eastAsia="zh-CN"/>
        </w:rPr>
        <w:t>文件中未提到的采购内容或者采购内容局部调整，双方本着公平公正的原则友好协商解决；</w:t>
      </w:r>
    </w:p>
    <w:p>
      <w:pPr>
        <w:pageBreakBefore w:val="0"/>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cs="Arial"/>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3、投标单位中标后因自身原因不能按时保质保量完成采购任务</w:t>
      </w:r>
      <w:r>
        <w:rPr>
          <w:rFonts w:hint="eastAsia" w:asciiTheme="minorEastAsia" w:hAnsiTheme="minorEastAsia" w:cstheme="minorEastAsia"/>
          <w:color w:val="auto"/>
          <w:sz w:val="24"/>
          <w:szCs w:val="24"/>
          <w:highlight w:val="none"/>
          <w:lang w:eastAsia="zh-CN"/>
        </w:rPr>
        <w:t>，</w:t>
      </w:r>
      <w:r>
        <w:rPr>
          <w:rFonts w:hint="eastAsia" w:ascii="宋体" w:hAnsi="宋体" w:cs="Arial"/>
          <w:color w:val="auto"/>
          <w:sz w:val="24"/>
          <w:szCs w:val="24"/>
          <w:highlight w:val="none"/>
          <w:lang w:val="en-US" w:eastAsia="zh-CN"/>
        </w:rPr>
        <w:t>采购单位有权要求中标单位赔偿全部损失。</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tabs>
          <w:tab w:val="left" w:pos="6300"/>
        </w:tabs>
        <w:snapToGrid w:val="0"/>
        <w:spacing w:line="360" w:lineRule="auto"/>
        <w:rPr>
          <w:rFonts w:hint="eastAsia" w:ascii="宋体" w:hAnsi="宋体" w:cs="Arial"/>
          <w:color w:val="auto"/>
          <w:sz w:val="24"/>
          <w:szCs w:val="24"/>
          <w:highlight w:val="none"/>
          <w:lang w:val="en-US" w:eastAsia="zh-CN"/>
        </w:rPr>
      </w:pPr>
    </w:p>
    <w:p>
      <w:pPr>
        <w:tabs>
          <w:tab w:val="left" w:pos="6300"/>
        </w:tabs>
        <w:snapToGrid w:val="0"/>
        <w:spacing w:line="360" w:lineRule="auto"/>
        <w:rPr>
          <w:rFonts w:hint="eastAsia" w:ascii="宋体" w:hAnsi="宋体" w:cs="Arial"/>
          <w:color w:val="auto"/>
          <w:sz w:val="24"/>
          <w:szCs w:val="24"/>
          <w:highlight w:val="none"/>
          <w:lang w:val="en-US" w:eastAsia="zh-CN"/>
        </w:rPr>
      </w:pPr>
    </w:p>
    <w:p>
      <w:pPr>
        <w:tabs>
          <w:tab w:val="left" w:pos="6300"/>
        </w:tabs>
        <w:snapToGrid w:val="0"/>
        <w:spacing w:line="360" w:lineRule="auto"/>
        <w:rPr>
          <w:rFonts w:hint="eastAsia" w:ascii="宋体" w:hAnsi="宋体" w:cs="Arial"/>
          <w:color w:val="auto"/>
          <w:sz w:val="24"/>
          <w:szCs w:val="24"/>
          <w:highlight w:val="none"/>
          <w:lang w:val="en-US" w:eastAsia="zh-CN"/>
        </w:rPr>
      </w:pPr>
    </w:p>
    <w:p>
      <w:pPr>
        <w:pStyle w:val="14"/>
        <w:rPr>
          <w:rFonts w:hint="eastAsia" w:ascii="宋体" w:hAnsi="宋体" w:cs="Arial"/>
          <w:color w:val="auto"/>
          <w:sz w:val="24"/>
          <w:szCs w:val="24"/>
          <w:highlight w:val="none"/>
          <w:lang w:val="en-US" w:eastAsia="zh-CN"/>
        </w:rPr>
      </w:pPr>
    </w:p>
    <w:p>
      <w:pPr>
        <w:pStyle w:val="4"/>
        <w:jc w:val="center"/>
        <w:rPr>
          <w:rStyle w:val="11"/>
          <w:rFonts w:hint="eastAsia" w:ascii="Arial" w:hAnsi="Arial" w:eastAsia="黑体" w:cstheme="minorBidi"/>
          <w:b/>
          <w:color w:val="auto"/>
          <w:kern w:val="2"/>
          <w:sz w:val="32"/>
          <w:szCs w:val="22"/>
          <w:highlight w:val="none"/>
          <w:lang w:val="en-US" w:eastAsia="zh-CN" w:bidi="ar-SA"/>
        </w:rPr>
      </w:pPr>
      <w:bookmarkStart w:id="19" w:name="_Toc372538159"/>
      <w:bookmarkStart w:id="20" w:name="_Toc25725122"/>
      <w:bookmarkStart w:id="21" w:name="_Toc11641054"/>
      <w:r>
        <w:rPr>
          <w:rStyle w:val="11"/>
          <w:rFonts w:hint="eastAsia" w:ascii="Arial" w:hAnsi="Arial" w:eastAsia="黑体" w:cstheme="minorBidi"/>
          <w:b/>
          <w:color w:val="auto"/>
          <w:kern w:val="2"/>
          <w:sz w:val="32"/>
          <w:szCs w:val="22"/>
          <w:highlight w:val="none"/>
          <w:lang w:val="en-US" w:eastAsia="zh-CN" w:bidi="ar-SA"/>
        </w:rPr>
        <w:t>第三篇  采购项目内容及技术要求</w:t>
      </w:r>
      <w:bookmarkEnd w:id="19"/>
      <w:bookmarkEnd w:id="20"/>
      <w:bookmarkEnd w:id="21"/>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highlight w:val="none"/>
        </w:rPr>
      </w:pPr>
      <w:r>
        <w:rPr>
          <w:rFonts w:hint="eastAsia"/>
          <w:color w:val="auto"/>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重庆中国三峡博物馆（采购单位）具有文物收藏、展示、研究的职能，位于重庆市渝中区人民路236号</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需要</w:t>
      </w:r>
      <w:r>
        <w:rPr>
          <w:rFonts w:hint="eastAsia" w:asciiTheme="minorEastAsia" w:hAnsiTheme="minorEastAsia" w:cstheme="minorEastAsia"/>
          <w:color w:val="auto"/>
          <w:sz w:val="24"/>
          <w:szCs w:val="24"/>
          <w:highlight w:val="none"/>
          <w:lang w:val="en-US" w:eastAsia="zh-CN"/>
        </w:rPr>
        <w:t>提供</w:t>
      </w:r>
      <w:r>
        <w:rPr>
          <w:rFonts w:hint="eastAsia" w:asciiTheme="minorEastAsia" w:hAnsiTheme="minorEastAsia" w:eastAsiaTheme="minorEastAsia" w:cstheme="minorEastAsia"/>
          <w:color w:val="auto"/>
          <w:sz w:val="24"/>
          <w:szCs w:val="24"/>
          <w:highlight w:val="none"/>
        </w:rPr>
        <w:t>三峡博物馆互联网宽带</w:t>
      </w:r>
      <w:r>
        <w:rPr>
          <w:rFonts w:hint="eastAsia" w:asciiTheme="minorEastAsia" w:hAnsiTheme="minorEastAsia" w:cstheme="minorEastAsia"/>
          <w:color w:val="auto"/>
          <w:sz w:val="24"/>
          <w:szCs w:val="24"/>
          <w:highlight w:val="none"/>
          <w:lang w:val="en-US" w:eastAsia="zh-CN"/>
        </w:rPr>
        <w:t>及其增值</w:t>
      </w:r>
      <w:r>
        <w:rPr>
          <w:rFonts w:hint="eastAsia" w:asciiTheme="minorEastAsia" w:hAnsiTheme="minorEastAsia" w:eastAsiaTheme="minorEastAsia" w:cstheme="minorEastAsia"/>
          <w:color w:val="auto"/>
          <w:sz w:val="24"/>
          <w:szCs w:val="24"/>
          <w:highlight w:val="none"/>
        </w:rPr>
        <w:t>服务。</w:t>
      </w:r>
    </w:p>
    <w:p>
      <w:pPr>
        <w:keepNext w:val="0"/>
        <w:keepLines w:val="0"/>
        <w:pageBreakBefore w:val="0"/>
        <w:kinsoku/>
        <w:wordWrap/>
        <w:overflowPunct/>
        <w:topLinePunct w:val="0"/>
        <w:autoSpaceDE/>
        <w:autoSpaceDN/>
        <w:bidi w:val="0"/>
        <w:adjustRightInd/>
        <w:snapToGrid/>
        <w:spacing w:line="460" w:lineRule="exact"/>
        <w:rPr>
          <w:rStyle w:val="11"/>
          <w:rFonts w:hint="eastAsia" w:eastAsia="宋体" w:asciiTheme="minorHAnsi" w:hAnsiTheme="minorHAnsi" w:cstheme="minorBidi"/>
          <w:b/>
          <w:color w:val="auto"/>
          <w:kern w:val="2"/>
          <w:sz w:val="32"/>
          <w:szCs w:val="22"/>
          <w:highlight w:val="none"/>
          <w:lang w:val="en-US" w:eastAsia="zh-CN" w:bidi="ar-SA"/>
        </w:rPr>
      </w:pPr>
      <w:r>
        <w:rPr>
          <w:rStyle w:val="11"/>
          <w:rFonts w:hint="eastAsia" w:eastAsia="宋体" w:asciiTheme="minorHAnsi" w:hAnsiTheme="minorHAnsi" w:cstheme="minorBidi"/>
          <w:b/>
          <w:color w:val="auto"/>
          <w:kern w:val="2"/>
          <w:sz w:val="32"/>
          <w:szCs w:val="22"/>
          <w:highlight w:val="none"/>
          <w:lang w:val="en-US" w:eastAsia="zh-CN" w:bidi="ar-SA"/>
        </w:rPr>
        <w:t>一、投标单位要求</w:t>
      </w:r>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1、营业执照经营范围或者法人证书服务范围具有完成本项目的内容</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中标后不得整体分包、或者转包。</w:t>
      </w:r>
    </w:p>
    <w:p>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本项目不接受联合体投标。</w:t>
      </w:r>
    </w:p>
    <w:p>
      <w:pPr>
        <w:keepNext w:val="0"/>
        <w:keepLines w:val="0"/>
        <w:pageBreakBefore w:val="0"/>
        <w:numPr>
          <w:ilvl w:val="0"/>
          <w:numId w:val="0"/>
        </w:numPr>
        <w:kinsoku/>
        <w:wordWrap/>
        <w:overflowPunct/>
        <w:topLinePunct w:val="0"/>
        <w:autoSpaceDE/>
        <w:autoSpaceDN/>
        <w:bidi w:val="0"/>
        <w:adjustRightInd/>
        <w:snapToGrid/>
        <w:spacing w:line="460" w:lineRule="exact"/>
        <w:rPr>
          <w:rStyle w:val="11"/>
          <w:rFonts w:hint="eastAsia" w:eastAsia="宋体" w:asciiTheme="minorHAnsi" w:hAnsiTheme="minorHAnsi" w:cstheme="minorBidi"/>
          <w:b/>
          <w:color w:val="auto"/>
          <w:kern w:val="2"/>
          <w:sz w:val="32"/>
          <w:szCs w:val="22"/>
          <w:highlight w:val="none"/>
          <w:lang w:val="en-US" w:eastAsia="zh-CN" w:bidi="ar-SA"/>
        </w:rPr>
      </w:pPr>
      <w:r>
        <w:rPr>
          <w:rStyle w:val="11"/>
          <w:rFonts w:hint="eastAsia" w:eastAsia="宋体" w:asciiTheme="minorHAnsi" w:hAnsiTheme="minorHAnsi" w:cstheme="minorBidi"/>
          <w:b/>
          <w:color w:val="auto"/>
          <w:kern w:val="2"/>
          <w:sz w:val="32"/>
          <w:szCs w:val="22"/>
          <w:highlight w:val="none"/>
          <w:lang w:val="en-US" w:eastAsia="zh-CN" w:bidi="ar-SA"/>
        </w:rPr>
        <w:t xml:space="preserve">二、 </w:t>
      </w:r>
      <w:r>
        <w:rPr>
          <w:rStyle w:val="11"/>
          <w:rFonts w:hint="eastAsia" w:eastAsia="宋体" w:cstheme="minorBidi"/>
          <w:b/>
          <w:color w:val="auto"/>
          <w:kern w:val="2"/>
          <w:sz w:val="32"/>
          <w:szCs w:val="22"/>
          <w:highlight w:val="none"/>
          <w:lang w:val="en-US" w:eastAsia="zh-CN" w:bidi="ar-SA"/>
        </w:rPr>
        <w:t>采购项目内容</w:t>
      </w:r>
      <w:r>
        <w:rPr>
          <w:rStyle w:val="11"/>
          <w:rFonts w:hint="eastAsia" w:eastAsia="宋体" w:asciiTheme="minorHAnsi" w:hAnsiTheme="minorHAnsi" w:cstheme="minorBidi"/>
          <w:b/>
          <w:color w:val="auto"/>
          <w:kern w:val="2"/>
          <w:sz w:val="32"/>
          <w:szCs w:val="22"/>
          <w:highlight w:val="none"/>
          <w:lang w:val="en-US" w:eastAsia="zh-CN" w:bidi="ar-SA"/>
        </w:rPr>
        <w:t>：</w:t>
      </w:r>
    </w:p>
    <w:p>
      <w:pPr>
        <w:pStyle w:val="13"/>
        <w:pageBreakBefore w:val="0"/>
        <w:kinsoku/>
        <w:wordWrap/>
        <w:overflowPunct/>
        <w:topLinePunct w:val="0"/>
        <w:autoSpaceDE/>
        <w:autoSpaceDN/>
        <w:bidi w:val="0"/>
        <w:adjustRightInd/>
        <w:spacing w:line="240" w:lineRule="auto"/>
        <w:ind w:firstLine="480"/>
        <w:textAlignment w:val="auto"/>
        <w:rPr>
          <w:rFonts w:ascii="宋体" w:hAnsi="宋体" w:cs="Arial"/>
          <w:color w:val="auto"/>
          <w:sz w:val="24"/>
          <w:szCs w:val="24"/>
          <w:highlight w:val="none"/>
        </w:rPr>
      </w:pPr>
      <w:r>
        <w:rPr>
          <w:rFonts w:hint="eastAsia" w:ascii="宋体" w:hAnsi="宋体" w:cs="Arial"/>
          <w:color w:val="auto"/>
          <w:sz w:val="24"/>
          <w:szCs w:val="24"/>
          <w:highlight w:val="none"/>
        </w:rPr>
        <w:t>1、</w:t>
      </w:r>
      <w:r>
        <w:rPr>
          <w:rFonts w:hint="eastAsia" w:ascii="宋体" w:hAnsi="宋体" w:cs="Arial"/>
          <w:color w:val="auto"/>
          <w:sz w:val="24"/>
          <w:szCs w:val="24"/>
          <w:highlight w:val="none"/>
          <w:lang w:val="en-US" w:eastAsia="zh-CN"/>
        </w:rPr>
        <w:t>1070</w:t>
      </w:r>
      <w:r>
        <w:rPr>
          <w:rFonts w:hint="eastAsia" w:ascii="宋体" w:hAnsi="宋体" w:cs="Arial"/>
          <w:color w:val="auto"/>
          <w:sz w:val="24"/>
          <w:szCs w:val="24"/>
          <w:highlight w:val="none"/>
        </w:rPr>
        <w:t>M互联网专线接入</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负责整个传输线路的开通以及开通后日常网络的正常运行及维护，提供光纤线路、传输设备。</w:t>
      </w:r>
    </w:p>
    <w:p>
      <w:pPr>
        <w:pStyle w:val="13"/>
        <w:pageBreakBefore w:val="0"/>
        <w:numPr>
          <w:ilvl w:val="0"/>
          <w:numId w:val="6"/>
        </w:numPr>
        <w:kinsoku/>
        <w:wordWrap/>
        <w:overflowPunct/>
        <w:topLinePunct w:val="0"/>
        <w:autoSpaceDE/>
        <w:autoSpaceDN/>
        <w:bidi w:val="0"/>
        <w:adjustRightInd/>
        <w:spacing w:line="240" w:lineRule="auto"/>
        <w:ind w:firstLine="480"/>
        <w:textAlignment w:val="auto"/>
        <w:rPr>
          <w:rFonts w:ascii="宋体" w:hAnsi="宋体" w:cs="Arial"/>
          <w:color w:val="auto"/>
          <w:sz w:val="24"/>
          <w:szCs w:val="24"/>
          <w:highlight w:val="none"/>
        </w:rPr>
      </w:pPr>
      <w:r>
        <w:rPr>
          <w:rFonts w:hint="eastAsia" w:ascii="宋体" w:hAnsi="宋体" w:cs="Arial"/>
          <w:color w:val="auto"/>
          <w:sz w:val="24"/>
          <w:szCs w:val="24"/>
          <w:highlight w:val="none"/>
        </w:rPr>
        <w:t>短彩信发送平台：集中建设、集中运营、集中维护的短消息类业务平台。满足不同的短消息发布及互动需求，提供基于移动终端（包括短信、彩信、网信等，统称短消息）的信息化应用服务。IT系统可通过互联网</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专线</w:t>
      </w:r>
      <w:r>
        <w:rPr>
          <w:rFonts w:hint="eastAsia" w:ascii="宋体" w:hAnsi="宋体" w:cs="Arial"/>
          <w:color w:val="auto"/>
          <w:sz w:val="24"/>
          <w:szCs w:val="24"/>
          <w:highlight w:val="none"/>
          <w:lang w:val="en-US" w:eastAsia="zh-CN"/>
        </w:rPr>
        <w:t>或接口调用</w:t>
      </w:r>
      <w:r>
        <w:rPr>
          <w:rFonts w:hint="eastAsia" w:ascii="宋体" w:hAnsi="宋体" w:cs="Arial"/>
          <w:color w:val="auto"/>
          <w:sz w:val="24"/>
          <w:szCs w:val="24"/>
          <w:highlight w:val="none"/>
        </w:rPr>
        <w:t>方式接入云短彩信业务平台</w:t>
      </w:r>
      <w:r>
        <w:rPr>
          <w:rFonts w:hint="eastAsia" w:ascii="宋体" w:hAnsi="宋体" w:cs="Arial"/>
          <w:color w:val="auto"/>
          <w:sz w:val="24"/>
          <w:szCs w:val="24"/>
          <w:highlight w:val="none"/>
          <w:lang w:eastAsia="zh-CN"/>
        </w:rPr>
        <w:t>，</w:t>
      </w:r>
      <w:r>
        <w:rPr>
          <w:rFonts w:hint="eastAsia" w:ascii="宋体" w:hAnsi="宋体" w:cs="Arial"/>
          <w:color w:val="auto"/>
          <w:sz w:val="24"/>
          <w:szCs w:val="24"/>
          <w:highlight w:val="none"/>
        </w:rPr>
        <w:t>同时提供“黑白名单”管理功能。</w:t>
      </w:r>
    </w:p>
    <w:p>
      <w:pPr>
        <w:pStyle w:val="13"/>
        <w:pageBreakBefore w:val="0"/>
        <w:numPr>
          <w:ilvl w:val="0"/>
          <w:numId w:val="6"/>
        </w:numPr>
        <w:kinsoku/>
        <w:wordWrap/>
        <w:overflowPunct/>
        <w:topLinePunct w:val="0"/>
        <w:autoSpaceDE/>
        <w:autoSpaceDN/>
        <w:bidi w:val="0"/>
        <w:adjustRightInd/>
        <w:spacing w:line="240" w:lineRule="auto"/>
        <w:ind w:firstLine="480"/>
        <w:textAlignment w:val="auto"/>
        <w:rPr>
          <w:rFonts w:ascii="宋体" w:hAnsi="宋体" w:cs="Arial"/>
          <w:color w:val="auto"/>
          <w:sz w:val="24"/>
          <w:szCs w:val="24"/>
          <w:highlight w:val="none"/>
        </w:rPr>
      </w:pPr>
      <w:r>
        <w:rPr>
          <w:rFonts w:hint="eastAsia" w:ascii="宋体" w:hAnsi="宋体" w:cs="Arial"/>
          <w:color w:val="auto"/>
          <w:sz w:val="24"/>
          <w:szCs w:val="24"/>
          <w:highlight w:val="none"/>
        </w:rPr>
        <w:t>内部通信短号服务：利用通信网及相关业务平台，提供专网特性及功能的内部通信网络，其中的每一个成员均可以使用短号码互相呼叫、发送短信并享受组内成员本地通信的优惠，从而实现集团客户员工间便捷、智能的移动语音业务</w:t>
      </w:r>
      <w:r>
        <w:rPr>
          <w:rFonts w:hint="eastAsia" w:ascii="宋体" w:hAnsi="宋体" w:cs="Arial"/>
          <w:color w:val="auto"/>
          <w:sz w:val="24"/>
          <w:szCs w:val="24"/>
          <w:highlight w:val="none"/>
          <w:lang w:val="en-US" w:eastAsia="zh-CN"/>
        </w:rPr>
        <w:t>。</w:t>
      </w:r>
    </w:p>
    <w:p>
      <w:pPr>
        <w:pStyle w:val="13"/>
        <w:pageBreakBefore w:val="0"/>
        <w:numPr>
          <w:ilvl w:val="0"/>
          <w:numId w:val="6"/>
        </w:numPr>
        <w:kinsoku/>
        <w:wordWrap/>
        <w:overflowPunct/>
        <w:topLinePunct w:val="0"/>
        <w:autoSpaceDE/>
        <w:autoSpaceDN/>
        <w:bidi w:val="0"/>
        <w:adjustRightInd/>
        <w:spacing w:line="240" w:lineRule="auto"/>
        <w:ind w:firstLine="480"/>
        <w:textAlignment w:val="auto"/>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210M数据专线接入：负责主馆和基地、白鹤梁和宋庆龄故居的数据链路以及政务外网的接入。</w:t>
      </w:r>
    </w:p>
    <w:p>
      <w:pPr>
        <w:pageBreakBefore w:val="0"/>
        <w:kinsoku/>
        <w:wordWrap/>
        <w:overflowPunct/>
        <w:topLinePunct w:val="0"/>
        <w:autoSpaceDE/>
        <w:autoSpaceDN/>
        <w:bidi w:val="0"/>
        <w:adjustRightIn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Arial"/>
          <w:color w:val="auto"/>
          <w:sz w:val="24"/>
          <w:szCs w:val="24"/>
          <w:highlight w:val="none"/>
          <w:lang w:val="en-US" w:eastAsia="zh-CN"/>
        </w:rPr>
        <w:t>5、</w:t>
      </w:r>
      <w:r>
        <w:rPr>
          <w:rFonts w:hint="eastAsia" w:ascii="宋体" w:hAnsi="宋体" w:eastAsia="宋体" w:cs="Arial"/>
          <w:color w:val="auto"/>
          <w:sz w:val="24"/>
          <w:szCs w:val="24"/>
          <w:highlight w:val="none"/>
          <w:lang w:val="en-US" w:eastAsia="zh-CN"/>
        </w:rPr>
        <w:t>IPv6转换服务：支持IPv6域名解析，在不改变网站源码及网络结构，不改变用户使用习惯，不中断原网站业务的前提下，为网站提供网络层和应用层的协议转换服务，实现IPv6地址和IPv4地址的全互通。域名规范、保证 IPv6 用户显示的网页无"天窗"且外链显示正常，实现网站 IPv4 和IPv6 的无缝对接、满足国家IPv6规模部署专项检</w:t>
      </w:r>
      <w:r>
        <w:rPr>
          <w:rFonts w:hint="eastAsia" w:ascii="宋体" w:hAnsi="宋体" w:eastAsia="宋体" w:cs="宋体"/>
          <w:color w:val="auto"/>
          <w:sz w:val="24"/>
          <w:szCs w:val="24"/>
          <w:highlight w:val="none"/>
          <w:lang w:val="en-US" w:eastAsia="zh-CN"/>
        </w:rPr>
        <w:t>查的各项指标。提供IPv6支持度测试分析工具或分析应用程序，</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网站首页、二级、三级链接IPv6支持度均达到100%。</w:t>
      </w:r>
    </w:p>
    <w:p>
      <w:pPr>
        <w:pStyle w:val="13"/>
        <w:pageBreakBefore w:val="0"/>
        <w:numPr>
          <w:ilvl w:val="-1"/>
          <w:numId w:val="0"/>
        </w:numPr>
        <w:kinsoku/>
        <w:wordWrap/>
        <w:overflowPunct/>
        <w:topLinePunct w:val="0"/>
        <w:autoSpaceDE/>
        <w:autoSpaceDN/>
        <w:bidi w:val="0"/>
        <w:adjustRightInd/>
        <w:spacing w:line="240" w:lineRule="auto"/>
        <w:ind w:left="0" w:leftChars="0"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企业邮箱50个：基于国产系统框架原生构建，全面完成了与主流CPU、操作系统、数据库及中间件的国产化适配，整合企业网盘、通讯录、日程管理等办公功能，具有强安全性、高稳定性、支持海外收发等特色优势。确保在全国产化环境中高效运行。提供密级邮件、阅后即焚、邮件审核、邮件监控等特色安全服务，在高效办公方面提供了邮件分拣、强制回执、已读统计等重点功能；采用分级分域的管理模式，管理体系支持多级管理权限，账号管理灵活授权、公共邮箱，以提升企业的高效运营管理能力。</w:t>
      </w:r>
    </w:p>
    <w:p>
      <w:pPr>
        <w:pStyle w:val="2"/>
        <w:pageBreakBefore w:val="0"/>
        <w:kinsoku/>
        <w:wordWrap/>
        <w:overflowPunct/>
        <w:topLinePunct w:val="0"/>
        <w:autoSpaceDE/>
        <w:autoSpaceDN/>
        <w:bidi w:val="0"/>
        <w:adjustRightInd/>
        <w:spacing w:line="24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7、wifi认证平台：</w:t>
      </w:r>
      <w:r>
        <w:rPr>
          <w:rFonts w:hint="eastAsia" w:ascii="宋体" w:hAnsi="宋体" w:eastAsia="宋体" w:cs="Arial"/>
          <w:color w:val="auto"/>
          <w:kern w:val="2"/>
          <w:sz w:val="24"/>
          <w:szCs w:val="24"/>
          <w:highlight w:val="none"/>
          <w:lang w:val="en-US" w:eastAsia="zh-CN" w:bidi="ar-SA"/>
        </w:rPr>
        <w:t>支持基于IP和MAC地址的绑定认证</w:t>
      </w:r>
      <w:r>
        <w:rPr>
          <w:rFonts w:hint="eastAsia" w:ascii="宋体" w:hAnsi="宋体" w:cs="Arial"/>
          <w:color w:val="auto"/>
          <w:kern w:val="2"/>
          <w:sz w:val="24"/>
          <w:szCs w:val="24"/>
          <w:highlight w:val="none"/>
          <w:lang w:val="en-US" w:eastAsia="zh-CN" w:bidi="ar-SA"/>
        </w:rPr>
        <w:t>；</w:t>
      </w:r>
      <w:r>
        <w:rPr>
          <w:rFonts w:hint="eastAsia" w:ascii="宋体" w:hAnsi="宋体" w:eastAsia="宋体" w:cs="Arial"/>
          <w:color w:val="auto"/>
          <w:kern w:val="2"/>
          <w:sz w:val="24"/>
          <w:szCs w:val="24"/>
          <w:highlight w:val="none"/>
          <w:lang w:val="en-US" w:eastAsia="zh-CN" w:bidi="ar-SA"/>
        </w:rPr>
        <w:t>支持基于本地设置用户名和密码的认证</w:t>
      </w:r>
      <w:r>
        <w:rPr>
          <w:rFonts w:hint="eastAsia" w:ascii="宋体" w:hAnsi="宋体" w:cs="Arial"/>
          <w:color w:val="auto"/>
          <w:kern w:val="2"/>
          <w:sz w:val="24"/>
          <w:szCs w:val="24"/>
          <w:highlight w:val="none"/>
          <w:lang w:val="en-US" w:eastAsia="zh-CN" w:bidi="ar-SA"/>
        </w:rPr>
        <w:t>；</w:t>
      </w:r>
      <w:r>
        <w:rPr>
          <w:rFonts w:hint="eastAsia" w:ascii="宋体" w:hAnsi="宋体" w:eastAsia="宋体" w:cs="Arial"/>
          <w:color w:val="auto"/>
          <w:kern w:val="2"/>
          <w:sz w:val="24"/>
          <w:szCs w:val="24"/>
          <w:highlight w:val="none"/>
          <w:lang w:val="en-US" w:eastAsia="zh-CN" w:bidi="ar-SA"/>
        </w:rPr>
        <w:t>支持基于手机号短信验证码的认证</w:t>
      </w:r>
      <w:r>
        <w:rPr>
          <w:rFonts w:hint="eastAsia" w:ascii="宋体" w:hAnsi="宋体" w:cs="Arial"/>
          <w:color w:val="auto"/>
          <w:kern w:val="2"/>
          <w:sz w:val="24"/>
          <w:szCs w:val="24"/>
          <w:highlight w:val="none"/>
          <w:lang w:val="en-US" w:eastAsia="zh-CN" w:bidi="ar-SA"/>
        </w:rPr>
        <w:t>；</w:t>
      </w:r>
      <w:r>
        <w:rPr>
          <w:rFonts w:hint="eastAsia" w:ascii="宋体" w:hAnsi="宋体" w:eastAsia="宋体" w:cs="Arial"/>
          <w:color w:val="auto"/>
          <w:kern w:val="2"/>
          <w:sz w:val="24"/>
          <w:szCs w:val="24"/>
          <w:highlight w:val="none"/>
          <w:lang w:val="en-US" w:eastAsia="zh-CN" w:bidi="ar-SA"/>
        </w:rPr>
        <w:t>支持基于IP、目标IP、访问域名、所在线路等组合条件实现对域名访问的控制；支持基于阻断、允许及重定向</w:t>
      </w:r>
      <w:r>
        <w:rPr>
          <w:rFonts w:hint="eastAsia" w:ascii="宋体" w:hAnsi="宋体" w:cs="Arial"/>
          <w:color w:val="auto"/>
          <w:kern w:val="2"/>
          <w:sz w:val="24"/>
          <w:szCs w:val="24"/>
          <w:highlight w:val="none"/>
          <w:lang w:val="en-US" w:eastAsia="zh-CN" w:bidi="ar-SA"/>
        </w:rPr>
        <w:t>；</w:t>
      </w:r>
      <w:r>
        <w:rPr>
          <w:rFonts w:hint="eastAsia" w:ascii="宋体" w:hAnsi="宋体" w:eastAsia="宋体" w:cs="Arial"/>
          <w:color w:val="auto"/>
          <w:kern w:val="2"/>
          <w:sz w:val="24"/>
          <w:szCs w:val="24"/>
          <w:highlight w:val="none"/>
          <w:lang w:val="en-US" w:eastAsia="zh-CN" w:bidi="ar-SA"/>
        </w:rPr>
        <w:t>支持</w:t>
      </w:r>
      <w:r>
        <w:rPr>
          <w:rFonts w:hint="eastAsia" w:ascii="宋体" w:hAnsi="宋体" w:cs="Arial"/>
          <w:color w:val="auto"/>
          <w:kern w:val="2"/>
          <w:sz w:val="24"/>
          <w:szCs w:val="24"/>
          <w:highlight w:val="none"/>
          <w:lang w:val="en-US" w:eastAsia="zh-CN" w:bidi="ar-SA"/>
        </w:rPr>
        <w:t>对</w:t>
      </w:r>
      <w:r>
        <w:rPr>
          <w:rFonts w:hint="eastAsia" w:ascii="宋体" w:hAnsi="宋体" w:eastAsia="宋体" w:cs="Arial"/>
          <w:color w:val="auto"/>
          <w:kern w:val="2"/>
          <w:sz w:val="24"/>
          <w:szCs w:val="24"/>
          <w:highlight w:val="none"/>
          <w:lang w:val="en-US" w:eastAsia="zh-CN" w:bidi="ar-SA"/>
        </w:rPr>
        <w:t>网络异常行为进行检测分析</w:t>
      </w:r>
      <w:r>
        <w:rPr>
          <w:rFonts w:hint="eastAsia" w:ascii="宋体" w:hAnsi="宋体" w:cs="Arial"/>
          <w:color w:val="auto"/>
          <w:kern w:val="2"/>
          <w:sz w:val="24"/>
          <w:szCs w:val="24"/>
          <w:highlight w:val="none"/>
          <w:lang w:val="en-US" w:eastAsia="zh-CN" w:bidi="ar-SA"/>
        </w:rPr>
        <w:t>；</w:t>
      </w:r>
      <w:r>
        <w:rPr>
          <w:rFonts w:hint="eastAsia" w:ascii="宋体" w:hAnsi="宋体" w:eastAsia="宋体" w:cs="Arial"/>
          <w:color w:val="auto"/>
          <w:kern w:val="2"/>
          <w:sz w:val="24"/>
          <w:szCs w:val="24"/>
          <w:highlight w:val="none"/>
          <w:lang w:val="en-US" w:eastAsia="zh-CN" w:bidi="ar-SA"/>
        </w:rPr>
        <w:t>支持对威胁情报的命中监测</w:t>
      </w:r>
      <w:r>
        <w:rPr>
          <w:rFonts w:hint="eastAsia" w:ascii="宋体" w:hAnsi="宋体" w:cs="Arial"/>
          <w:color w:val="auto"/>
          <w:kern w:val="2"/>
          <w:sz w:val="24"/>
          <w:szCs w:val="24"/>
          <w:highlight w:val="none"/>
          <w:lang w:val="en-US" w:eastAsia="zh-CN" w:bidi="ar-SA"/>
        </w:rPr>
        <w:t>；</w:t>
      </w:r>
      <w:r>
        <w:rPr>
          <w:rFonts w:hint="eastAsia" w:ascii="宋体" w:hAnsi="宋体" w:eastAsia="宋体" w:cs="Arial"/>
          <w:color w:val="auto"/>
          <w:kern w:val="2"/>
          <w:sz w:val="24"/>
          <w:szCs w:val="24"/>
          <w:highlight w:val="none"/>
          <w:lang w:val="en-US" w:eastAsia="zh-CN" w:bidi="ar-SA"/>
        </w:rPr>
        <w:t>支持1:1全量记录会话日志，并可以按照应用协议、五元组、运营商流向、等信息进行检索和查询</w:t>
      </w:r>
      <w:r>
        <w:rPr>
          <w:rFonts w:hint="eastAsia" w:ascii="宋体" w:hAnsi="宋体" w:cs="Arial"/>
          <w:color w:val="auto"/>
          <w:kern w:val="2"/>
          <w:sz w:val="24"/>
          <w:szCs w:val="24"/>
          <w:highlight w:val="none"/>
          <w:lang w:val="en-US" w:eastAsia="zh-CN" w:bidi="ar-SA"/>
        </w:rPr>
        <w:t>；</w:t>
      </w:r>
      <w:r>
        <w:rPr>
          <w:rFonts w:hint="eastAsia" w:ascii="宋体" w:hAnsi="宋体" w:eastAsia="宋体" w:cs="Arial"/>
          <w:color w:val="auto"/>
          <w:kern w:val="2"/>
          <w:sz w:val="24"/>
          <w:szCs w:val="24"/>
          <w:highlight w:val="none"/>
          <w:lang w:val="en-US" w:eastAsia="zh-CN" w:bidi="ar-SA"/>
        </w:rPr>
        <w:t>支持HTTP行为审计</w:t>
      </w:r>
      <w:r>
        <w:rPr>
          <w:rFonts w:hint="eastAsia" w:ascii="宋体" w:hAnsi="宋体" w:cs="Arial"/>
          <w:color w:val="auto"/>
          <w:kern w:val="2"/>
          <w:sz w:val="24"/>
          <w:szCs w:val="24"/>
          <w:highlight w:val="none"/>
          <w:lang w:val="en-US" w:eastAsia="zh-CN" w:bidi="ar-SA"/>
        </w:rPr>
        <w:t>；</w:t>
      </w:r>
      <w:r>
        <w:rPr>
          <w:rFonts w:hint="eastAsia" w:ascii="宋体" w:hAnsi="宋体" w:eastAsia="宋体" w:cs="Arial"/>
          <w:color w:val="auto"/>
          <w:kern w:val="2"/>
          <w:sz w:val="24"/>
          <w:szCs w:val="24"/>
          <w:highlight w:val="none"/>
          <w:lang w:val="en-US" w:eastAsia="zh-CN" w:bidi="ar-SA"/>
        </w:rPr>
        <w:t>支持历史诊断</w:t>
      </w:r>
      <w:r>
        <w:rPr>
          <w:rFonts w:hint="eastAsia" w:ascii="宋体" w:hAnsi="宋体" w:cs="Arial"/>
          <w:color w:val="auto"/>
          <w:kern w:val="2"/>
          <w:sz w:val="24"/>
          <w:szCs w:val="24"/>
          <w:highlight w:val="none"/>
          <w:lang w:val="en-US" w:eastAsia="zh-CN" w:bidi="ar-SA"/>
        </w:rPr>
        <w:t>；</w:t>
      </w:r>
      <w:r>
        <w:rPr>
          <w:rFonts w:hint="eastAsia" w:ascii="宋体" w:hAnsi="宋体" w:eastAsia="宋体" w:cs="Arial"/>
          <w:color w:val="auto"/>
          <w:kern w:val="2"/>
          <w:sz w:val="24"/>
          <w:szCs w:val="24"/>
          <w:highlight w:val="none"/>
          <w:lang w:val="en-US" w:eastAsia="zh-CN" w:bidi="ar-SA"/>
        </w:rPr>
        <w:t>持历史会话查询</w:t>
      </w:r>
      <w:r>
        <w:rPr>
          <w:rFonts w:hint="eastAsia" w:ascii="宋体" w:hAnsi="宋体" w:cs="Arial"/>
          <w:color w:val="auto"/>
          <w:kern w:val="2"/>
          <w:sz w:val="24"/>
          <w:szCs w:val="24"/>
          <w:highlight w:val="none"/>
          <w:lang w:val="en-US" w:eastAsia="zh-CN" w:bidi="ar-SA"/>
        </w:rPr>
        <w:t>；</w:t>
      </w:r>
      <w:r>
        <w:rPr>
          <w:rFonts w:hint="eastAsia" w:ascii="宋体" w:hAnsi="宋体" w:eastAsia="宋体" w:cs="Arial"/>
          <w:color w:val="auto"/>
          <w:kern w:val="2"/>
          <w:sz w:val="24"/>
          <w:szCs w:val="24"/>
          <w:highlight w:val="none"/>
          <w:lang w:val="en-US" w:eastAsia="zh-CN" w:bidi="ar-SA"/>
        </w:rPr>
        <w:t>支持基于流量诊断的溯源分析</w:t>
      </w:r>
      <w:r>
        <w:rPr>
          <w:rFonts w:hint="eastAsia" w:ascii="宋体" w:hAnsi="宋体" w:cs="Arial"/>
          <w:color w:val="auto"/>
          <w:kern w:val="2"/>
          <w:sz w:val="24"/>
          <w:szCs w:val="24"/>
          <w:highlight w:val="none"/>
          <w:lang w:val="en-US" w:eastAsia="zh-CN" w:bidi="ar-SA"/>
        </w:rPr>
        <w:t>；</w:t>
      </w:r>
      <w:r>
        <w:rPr>
          <w:rFonts w:hint="eastAsia" w:ascii="宋体" w:hAnsi="宋体" w:eastAsia="宋体" w:cs="Arial"/>
          <w:color w:val="auto"/>
          <w:kern w:val="2"/>
          <w:sz w:val="24"/>
          <w:szCs w:val="24"/>
          <w:highlight w:val="none"/>
          <w:lang w:val="en-US" w:eastAsia="zh-CN" w:bidi="ar-SA"/>
        </w:rPr>
        <w:t>支持基于会话流量的溯源分析</w:t>
      </w:r>
      <w:r>
        <w:rPr>
          <w:rFonts w:hint="eastAsia" w:ascii="宋体" w:hAnsi="宋体" w:cs="Arial"/>
          <w:color w:val="auto"/>
          <w:kern w:val="2"/>
          <w:sz w:val="24"/>
          <w:szCs w:val="24"/>
          <w:highlight w:val="none"/>
          <w:lang w:val="en-US" w:eastAsia="zh-CN" w:bidi="ar-SA"/>
        </w:rPr>
        <w:t>。</w:t>
      </w:r>
    </w:p>
    <w:p>
      <w:pPr>
        <w:pStyle w:val="13"/>
        <w:pageBreakBefore w:val="0"/>
        <w:numPr>
          <w:ilvl w:val="0"/>
          <w:numId w:val="7"/>
        </w:numPr>
        <w:kinsoku/>
        <w:wordWrap/>
        <w:overflowPunct/>
        <w:topLinePunct w:val="0"/>
        <w:autoSpaceDE/>
        <w:autoSpaceDN/>
        <w:bidi w:val="0"/>
        <w:adjustRightInd/>
        <w:spacing w:line="240" w:lineRule="auto"/>
        <w:ind w:firstLine="440" w:firstLineChars="0"/>
        <w:textAlignment w:val="auto"/>
        <w:rPr>
          <w:rFonts w:hint="eastAsia" w:ascii="宋体" w:hAnsi="宋体" w:cs="宋体"/>
          <w:color w:val="auto"/>
          <w:sz w:val="24"/>
          <w:szCs w:val="24"/>
          <w:highlight w:val="none"/>
          <w:lang w:val="en-US" w:eastAsia="zh-CN"/>
        </w:rPr>
      </w:pPr>
      <w:r>
        <w:rPr>
          <w:rFonts w:hint="eastAsia" w:ascii="宋体" w:hAnsi="宋体" w:cs="Arial"/>
          <w:color w:val="auto"/>
          <w:sz w:val="24"/>
          <w:szCs w:val="24"/>
          <w:highlight w:val="none"/>
        </w:rPr>
        <w:t>租期</w:t>
      </w:r>
      <w:r>
        <w:rPr>
          <w:rFonts w:hint="eastAsia" w:ascii="宋体" w:hAnsi="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2026年5月1日——2027年4月30日。</w:t>
      </w:r>
    </w:p>
    <w:p>
      <w:pPr>
        <w:rPr>
          <w:rFonts w:hint="eastAsia"/>
          <w:color w:val="auto"/>
          <w:highlight w:val="none"/>
          <w:lang w:val="en-US" w:eastAsia="zh-CN"/>
        </w:rPr>
      </w:pPr>
    </w:p>
    <w:p>
      <w:pPr>
        <w:pStyle w:val="4"/>
        <w:jc w:val="center"/>
        <w:rPr>
          <w:rFonts w:hint="eastAsia" w:ascii="宋体" w:hAnsi="宋体" w:eastAsia="宋体" w:cs="Arial"/>
          <w:color w:val="auto"/>
          <w:sz w:val="36"/>
          <w:highlight w:val="none"/>
        </w:rPr>
      </w:pPr>
      <w:bookmarkStart w:id="22" w:name="_Toc25725124"/>
      <w:bookmarkStart w:id="23" w:name="_Toc372538162"/>
      <w:bookmarkStart w:id="24" w:name="_Toc11641055"/>
    </w:p>
    <w:p>
      <w:pPr>
        <w:rPr>
          <w:rFonts w:hint="eastAsia" w:ascii="宋体" w:hAnsi="宋体" w:eastAsia="宋体" w:cs="Arial"/>
          <w:color w:val="auto"/>
          <w:sz w:val="36"/>
          <w:highlight w:val="none"/>
        </w:rPr>
      </w:pPr>
    </w:p>
    <w:p>
      <w:pPr>
        <w:rPr>
          <w:rFonts w:hint="eastAsia" w:ascii="宋体" w:hAnsi="宋体" w:eastAsia="宋体" w:cs="Arial"/>
          <w:color w:val="auto"/>
          <w:sz w:val="36"/>
          <w:highlight w:val="none"/>
        </w:rPr>
      </w:pPr>
    </w:p>
    <w:p>
      <w:pPr>
        <w:rPr>
          <w:rFonts w:hint="eastAsia" w:ascii="宋体" w:hAnsi="宋体" w:eastAsia="宋体" w:cs="Arial"/>
          <w:color w:val="auto"/>
          <w:sz w:val="36"/>
          <w:highlight w:val="none"/>
        </w:rPr>
      </w:pPr>
    </w:p>
    <w:p>
      <w:pPr>
        <w:rPr>
          <w:rFonts w:hint="eastAsia"/>
          <w:color w:val="auto"/>
          <w:highlight w:val="none"/>
        </w:rPr>
      </w:pPr>
    </w:p>
    <w:p>
      <w:pPr>
        <w:pStyle w:val="4"/>
        <w:jc w:val="center"/>
        <w:rPr>
          <w:rStyle w:val="11"/>
          <w:rFonts w:hint="eastAsia" w:ascii="Arial" w:hAnsi="Arial" w:eastAsia="黑体" w:cstheme="minorBidi"/>
          <w:b/>
          <w:color w:val="auto"/>
          <w:kern w:val="2"/>
          <w:sz w:val="32"/>
          <w:szCs w:val="22"/>
          <w:highlight w:val="none"/>
          <w:lang w:val="en-US" w:eastAsia="zh-CN" w:bidi="ar-SA"/>
        </w:rPr>
      </w:pPr>
      <w:r>
        <w:rPr>
          <w:rStyle w:val="11"/>
          <w:rFonts w:hint="eastAsia" w:ascii="Arial" w:hAnsi="Arial" w:eastAsia="黑体" w:cstheme="minorBidi"/>
          <w:b/>
          <w:color w:val="auto"/>
          <w:kern w:val="2"/>
          <w:sz w:val="32"/>
          <w:szCs w:val="22"/>
          <w:highlight w:val="none"/>
          <w:lang w:val="en-US" w:eastAsia="zh-CN" w:bidi="ar-SA"/>
        </w:rPr>
        <w:t>第四篇   商务要求</w:t>
      </w:r>
      <w:bookmarkEnd w:id="22"/>
      <w:bookmarkEnd w:id="23"/>
      <w:bookmarkEnd w:id="24"/>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rPr>
      </w:pPr>
      <w:bookmarkStart w:id="25" w:name="_Toc344475120"/>
      <w:bookmarkStart w:id="26" w:name="_Toc498442539"/>
      <w:bookmarkStart w:id="27" w:name="_Toc480882274"/>
      <w:bookmarkStart w:id="28" w:name="_Toc25725133"/>
      <w:r>
        <w:rPr>
          <w:rStyle w:val="11"/>
          <w:rFonts w:hint="eastAsia"/>
          <w:color w:val="auto"/>
          <w:highlight w:val="none"/>
          <w:lang w:val="en-US" w:eastAsia="zh-CN"/>
        </w:rPr>
        <w:t>一、</w:t>
      </w:r>
      <w:r>
        <w:rPr>
          <w:rStyle w:val="11"/>
          <w:rFonts w:hint="eastAsia"/>
          <w:color w:val="auto"/>
          <w:highlight w:val="none"/>
        </w:rPr>
        <w:t>交货时间、地点及验收方式</w:t>
      </w:r>
      <w:bookmarkEnd w:id="25"/>
      <w:bookmarkEnd w:id="26"/>
      <w:bookmarkEnd w:id="27"/>
    </w:p>
    <w:p>
      <w:pPr>
        <w:pageBreakBefore w:val="0"/>
        <w:widowControl/>
        <w:kinsoku/>
        <w:wordWrap/>
        <w:overflowPunct/>
        <w:topLinePunct w:val="0"/>
        <w:autoSpaceDE/>
        <w:autoSpaceDN/>
        <w:bidi w:val="0"/>
        <w:adjustRightInd/>
        <w:spacing w:line="240" w:lineRule="auto"/>
        <w:jc w:val="left"/>
        <w:textAlignment w:val="auto"/>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29" w:name="_Toc498442540"/>
      <w:bookmarkStart w:id="30" w:name="_Toc344475121"/>
      <w:bookmarkStart w:id="31" w:name="_Toc480882275"/>
      <w:r>
        <w:rPr>
          <w:rFonts w:hint="eastAsia" w:ascii="宋体" w:hAnsi="宋体" w:cs="Arial"/>
          <w:color w:val="auto"/>
          <w:sz w:val="24"/>
          <w:szCs w:val="24"/>
          <w:highlight w:val="none"/>
        </w:rPr>
        <w:t xml:space="preserve"> </w:t>
      </w:r>
      <w:r>
        <w:rPr>
          <w:rFonts w:hint="eastAsia" w:ascii="宋体" w:hAnsi="宋体" w:cs="宋体"/>
          <w:color w:val="auto"/>
          <w:sz w:val="24"/>
          <w:szCs w:val="24"/>
          <w:highlight w:val="none"/>
        </w:rPr>
        <w:t>（一）交货时间</w:t>
      </w:r>
    </w:p>
    <w:p>
      <w:pPr>
        <w:pStyle w:val="13"/>
        <w:pageBreakBefore w:val="0"/>
        <w:kinsoku/>
        <w:wordWrap/>
        <w:overflowPunct/>
        <w:topLinePunct w:val="0"/>
        <w:autoSpaceDE/>
        <w:autoSpaceDN/>
        <w:bidi w:val="0"/>
        <w:adjustRightInd/>
        <w:spacing w:line="240" w:lineRule="auto"/>
        <w:ind w:firstLine="440" w:firstLineChars="0"/>
        <w:textAlignment w:val="auto"/>
        <w:rPr>
          <w:rFonts w:hint="default" w:ascii="宋体" w:hAnsi="宋体" w:eastAsia="宋体" w:cs="Arial"/>
          <w:color w:val="auto"/>
          <w:sz w:val="24"/>
          <w:szCs w:val="24"/>
          <w:highlight w:val="none"/>
          <w:lang w:val="en-US" w:eastAsia="zh-CN"/>
        </w:rPr>
      </w:pPr>
      <w:r>
        <w:rPr>
          <w:rFonts w:hint="eastAsia" w:ascii="宋体" w:hAnsi="宋体" w:cs="宋体"/>
          <w:color w:val="auto"/>
          <w:sz w:val="24"/>
          <w:szCs w:val="24"/>
          <w:highlight w:val="none"/>
          <w:lang w:val="en-US" w:eastAsia="zh-CN"/>
        </w:rPr>
        <w:t>2026年5月1日——2027年4月30日。</w:t>
      </w:r>
    </w:p>
    <w:p>
      <w:pPr>
        <w:pageBreakBefore w:val="0"/>
        <w:widowControl/>
        <w:kinsoku/>
        <w:wordWrap/>
        <w:overflowPunct/>
        <w:topLinePunct w:val="0"/>
        <w:autoSpaceDE/>
        <w:autoSpaceDN/>
        <w:bidi w:val="0"/>
        <w:adjustRightInd/>
        <w:spacing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（二）地点</w:t>
      </w:r>
    </w:p>
    <w:p>
      <w:pPr>
        <w:pageBreakBefore w:val="0"/>
        <w:widowControl/>
        <w:kinsoku/>
        <w:wordWrap/>
        <w:overflowPunct/>
        <w:topLinePunct w:val="0"/>
        <w:autoSpaceDE/>
        <w:autoSpaceDN/>
        <w:bidi w:val="0"/>
        <w:adjustRightInd/>
        <w:spacing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重庆中国三峡博物馆。</w:t>
      </w:r>
    </w:p>
    <w:p>
      <w:pPr>
        <w:pageBreakBefore w:val="0"/>
        <w:widowControl/>
        <w:numPr>
          <w:ilvl w:val="0"/>
          <w:numId w:val="8"/>
        </w:numPr>
        <w:kinsoku/>
        <w:wordWrap/>
        <w:overflowPunct/>
        <w:topLinePunct w:val="0"/>
        <w:autoSpaceDE/>
        <w:autoSpaceDN/>
        <w:bidi w:val="0"/>
        <w:adjustRightInd/>
        <w:spacing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交付</w:t>
      </w:r>
      <w:r>
        <w:rPr>
          <w:rFonts w:hint="eastAsia" w:ascii="宋体" w:hAnsi="宋体" w:cs="宋体"/>
          <w:color w:val="auto"/>
          <w:sz w:val="24"/>
          <w:szCs w:val="24"/>
          <w:highlight w:val="none"/>
          <w:lang w:val="en-US" w:eastAsia="zh-CN"/>
        </w:rPr>
        <w:t>内容</w:t>
      </w:r>
    </w:p>
    <w:p>
      <w:pPr>
        <w:pStyle w:val="13"/>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互联网</w:t>
      </w:r>
      <w:r>
        <w:rPr>
          <w:rFonts w:hint="eastAsia" w:ascii="宋体" w:hAnsi="宋体" w:cs="宋体"/>
          <w:color w:val="auto"/>
          <w:sz w:val="24"/>
          <w:szCs w:val="24"/>
          <w:highlight w:val="none"/>
        </w:rPr>
        <w:t>带宽</w:t>
      </w:r>
      <w:r>
        <w:rPr>
          <w:rFonts w:hint="eastAsia" w:ascii="宋体" w:hAnsi="宋体" w:cs="宋体"/>
          <w:color w:val="auto"/>
          <w:sz w:val="24"/>
          <w:szCs w:val="24"/>
          <w:highlight w:val="none"/>
          <w:lang w:val="en-US" w:eastAsia="zh-CN"/>
        </w:rPr>
        <w:t>不低于1070</w:t>
      </w:r>
      <w:r>
        <w:rPr>
          <w:rFonts w:hint="eastAsia" w:ascii="宋体" w:hAnsi="宋体" w:cs="宋体"/>
          <w:color w:val="auto"/>
          <w:sz w:val="24"/>
          <w:szCs w:val="24"/>
          <w:highlight w:val="none"/>
        </w:rPr>
        <w:t>M</w:t>
      </w:r>
      <w:r>
        <w:rPr>
          <w:rFonts w:hint="eastAsia" w:ascii="宋体" w:hAnsi="宋体" w:cs="宋体"/>
          <w:color w:val="auto"/>
          <w:sz w:val="24"/>
          <w:szCs w:val="24"/>
          <w:highlight w:val="none"/>
          <w:lang w:eastAsia="zh-CN"/>
        </w:rPr>
        <w:t>。</w:t>
      </w:r>
    </w:p>
    <w:p>
      <w:pPr>
        <w:pStyle w:val="13"/>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短彩信平台正常</w:t>
      </w:r>
      <w:r>
        <w:rPr>
          <w:rFonts w:hint="eastAsia" w:ascii="宋体" w:hAnsi="宋体" w:cs="宋体"/>
          <w:color w:val="auto"/>
          <w:sz w:val="24"/>
          <w:szCs w:val="24"/>
          <w:highlight w:val="none"/>
          <w:lang w:eastAsia="zh-CN"/>
        </w:rPr>
        <w:t>。</w:t>
      </w:r>
    </w:p>
    <w:p>
      <w:pPr>
        <w:pStyle w:val="13"/>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rPr>
        <w:t>短号通信通畅</w:t>
      </w:r>
      <w:r>
        <w:rPr>
          <w:rFonts w:hint="eastAsia" w:ascii="宋体" w:hAnsi="宋体" w:cs="宋体"/>
          <w:color w:val="auto"/>
          <w:sz w:val="24"/>
          <w:szCs w:val="24"/>
          <w:highlight w:val="none"/>
          <w:lang w:eastAsia="zh-CN"/>
        </w:rPr>
        <w:t>。</w:t>
      </w:r>
    </w:p>
    <w:p>
      <w:pPr>
        <w:pStyle w:val="13"/>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数据专线不低于210M。</w:t>
      </w:r>
    </w:p>
    <w:p>
      <w:pPr>
        <w:pStyle w:val="13"/>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IPV6转换正常</w:t>
      </w:r>
      <w:r>
        <w:rPr>
          <w:rFonts w:hint="eastAsia" w:ascii="宋体" w:hAnsi="宋体" w:cs="宋体"/>
          <w:color w:val="auto"/>
          <w:sz w:val="24"/>
          <w:szCs w:val="24"/>
          <w:highlight w:val="none"/>
        </w:rPr>
        <w:t>。</w:t>
      </w:r>
    </w:p>
    <w:p>
      <w:pPr>
        <w:pStyle w:val="13"/>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Arial"/>
          <w:color w:val="auto"/>
          <w:sz w:val="24"/>
          <w:szCs w:val="24"/>
          <w:highlight w:val="none"/>
          <w:lang w:val="en-US" w:eastAsia="zh-CN"/>
        </w:rPr>
        <w:t>企业邮箱正常。</w:t>
      </w:r>
    </w:p>
    <w:p>
      <w:pPr>
        <w:pStyle w:val="13"/>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Wifi认证平台正常。</w:t>
      </w:r>
    </w:p>
    <w:p>
      <w:pPr>
        <w:pageBreakBefore w:val="0"/>
        <w:widowControl/>
        <w:kinsoku/>
        <w:wordWrap/>
        <w:overflowPunct/>
        <w:topLinePunct w:val="0"/>
        <w:autoSpaceDE/>
        <w:autoSpaceDN/>
        <w:bidi w:val="0"/>
        <w:adjustRightInd/>
        <w:spacing w:line="240" w:lineRule="auto"/>
        <w:ind w:firstLine="42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（四）验收方式</w:t>
      </w:r>
    </w:p>
    <w:p>
      <w:pPr>
        <w:pageBreakBefore w:val="0"/>
        <w:widowControl/>
        <w:kinsoku/>
        <w:wordWrap/>
        <w:overflowPunct/>
        <w:topLinePunct w:val="0"/>
        <w:autoSpaceDE/>
        <w:autoSpaceDN/>
        <w:bidi w:val="0"/>
        <w:adjustRightInd/>
        <w:spacing w:line="240" w:lineRule="auto"/>
        <w:ind w:firstLine="420"/>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 xml:space="preserve"> 出具带宽测试报告。</w:t>
      </w:r>
    </w:p>
    <w:p>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highlight w:val="none"/>
          <w:lang w:val="en-US" w:eastAsia="zh-CN" w:bidi="ar-SA"/>
        </w:rPr>
      </w:pPr>
      <w:r>
        <w:rPr>
          <w:rStyle w:val="11"/>
          <w:rFonts w:hint="eastAsia" w:eastAsia="宋体" w:asciiTheme="minorHAnsi" w:hAnsiTheme="minorHAnsi" w:cstheme="minorBidi"/>
          <w:b/>
          <w:color w:val="auto"/>
          <w:kern w:val="2"/>
          <w:sz w:val="32"/>
          <w:szCs w:val="22"/>
          <w:highlight w:val="none"/>
          <w:lang w:val="en-US" w:eastAsia="zh-CN" w:bidi="ar-SA"/>
        </w:rPr>
        <w:t>二、质量保证</w:t>
      </w:r>
      <w:bookmarkEnd w:id="29"/>
      <w:bookmarkEnd w:id="30"/>
      <w:bookmarkEnd w:id="31"/>
      <w:r>
        <w:rPr>
          <w:rStyle w:val="11"/>
          <w:rFonts w:hint="eastAsia" w:eastAsia="宋体" w:cstheme="minorBidi"/>
          <w:b/>
          <w:color w:val="auto"/>
          <w:kern w:val="2"/>
          <w:sz w:val="32"/>
          <w:szCs w:val="22"/>
          <w:highlight w:val="none"/>
          <w:lang w:val="en-US" w:eastAsia="zh-CN" w:bidi="ar-SA"/>
        </w:rPr>
        <w:t>及售后服务</w:t>
      </w:r>
    </w:p>
    <w:bookmarkEnd w:id="28"/>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（一）服务质量保证期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合同期内保障网络带宽和数据专线接入稳定带宽达到要求，短号通信通畅，短彩信平台，IPV6转换服务，</w:t>
      </w:r>
      <w:r>
        <w:rPr>
          <w:rFonts w:hint="eastAsia" w:asciiTheme="minorEastAsia" w:hAnsiTheme="minorEastAsia" w:cstheme="minorEastAsia"/>
          <w:color w:val="auto"/>
          <w:sz w:val="24"/>
          <w:szCs w:val="24"/>
          <w:highlight w:val="none"/>
          <w:lang w:val="en-US" w:eastAsia="zh-CN"/>
        </w:rPr>
        <w:t>企业邮箱、wifi认证平台</w:t>
      </w:r>
      <w:r>
        <w:rPr>
          <w:rFonts w:hint="eastAsia" w:asciiTheme="minorEastAsia" w:hAnsiTheme="minorEastAsia" w:eastAsiaTheme="minorEastAsia" w:cstheme="minorEastAsia"/>
          <w:color w:val="auto"/>
          <w:sz w:val="24"/>
          <w:szCs w:val="24"/>
          <w:highlight w:val="none"/>
          <w:lang w:val="en-US" w:eastAsia="zh-CN"/>
        </w:rPr>
        <w:t xml:space="preserve">正常。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（二）售后服务内容</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1.提供服务期内的技术支持，并提供24小时值守服务和咨询。双方负责范围以双方各自投资的设备接口为界。</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2.负责整个传输线路的开通以及开通后日常网络的正常运行及维护，甲方负责其内部网络的运行维护。</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3.甲、乙双方网络设备更换或升级时，应提前十五日通知对方，以便作好相应配合，保证双方网络的正常运行。</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4.有义务向甲方提供最新的网络技术信息和解决方案,提供系统运行、维护管理和安全检测等多方面的支持，提供电信级的网络运行质量保证。</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5.提供24小时的服务和支持专席。</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6.保障短号通信、企业邮箱、wifi认证平台正常通畅。</w:t>
      </w:r>
    </w:p>
    <w:p>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highlight w:val="none"/>
          <w:lang w:val="en-US" w:eastAsia="zh-CN" w:bidi="ar-SA"/>
        </w:rPr>
      </w:pPr>
      <w:bookmarkStart w:id="32" w:name="_Toc498442541"/>
      <w:bookmarkStart w:id="33" w:name="_Toc344475122"/>
      <w:bookmarkStart w:id="34" w:name="_Toc480882276"/>
      <w:r>
        <w:rPr>
          <w:rStyle w:val="11"/>
          <w:rFonts w:hint="eastAsia" w:eastAsia="宋体" w:asciiTheme="minorHAnsi" w:hAnsiTheme="minorHAnsi" w:cstheme="minorBidi"/>
          <w:b/>
          <w:color w:val="auto"/>
          <w:kern w:val="2"/>
          <w:sz w:val="32"/>
          <w:szCs w:val="22"/>
          <w:highlight w:val="none"/>
          <w:lang w:val="en-US" w:eastAsia="zh-CN" w:bidi="ar-SA"/>
        </w:rPr>
        <w:t>四、付款方式</w:t>
      </w:r>
      <w:bookmarkEnd w:id="32"/>
      <w:bookmarkEnd w:id="33"/>
      <w:bookmarkEnd w:id="34"/>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验收合格后，2026年7月31日前第一次付款合同总金额的25%,2026年12月15日前第二次付款合同总金额的45%；合同到期日前15日付剩余费用。 </w:t>
      </w:r>
    </w:p>
    <w:p>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highlight w:val="none"/>
          <w:lang w:val="en-US" w:eastAsia="zh-CN" w:bidi="ar-SA"/>
        </w:rPr>
      </w:pPr>
      <w:r>
        <w:rPr>
          <w:rStyle w:val="11"/>
          <w:rFonts w:hint="eastAsia" w:eastAsia="宋体" w:asciiTheme="minorHAnsi" w:hAnsiTheme="minorHAnsi" w:cstheme="minorBidi"/>
          <w:b/>
          <w:color w:val="auto"/>
          <w:kern w:val="2"/>
          <w:sz w:val="32"/>
          <w:szCs w:val="22"/>
          <w:highlight w:val="none"/>
          <w:lang w:val="en-US" w:eastAsia="zh-CN" w:bidi="ar-SA"/>
        </w:rPr>
        <w:t>五、知识产权</w:t>
      </w:r>
    </w:p>
    <w:p>
      <w:pPr>
        <w:pageBreakBefore w:val="0"/>
        <w:widowControl/>
        <w:kinsoku/>
        <w:wordWrap/>
        <w:overflowPunct/>
        <w:topLinePunct w:val="0"/>
        <w:autoSpaceDE/>
        <w:autoSpaceDN/>
        <w:bidi w:val="0"/>
        <w:adjustRightInd/>
        <w:snapToGrid/>
        <w:spacing w:line="460" w:lineRule="exact"/>
        <w:ind w:firstLine="562"/>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采购人在中华人民共和国境内使用投标人提供的货物及服务时免受第三方提出的侵犯其专利权或其它知识产权的起诉。如果第三方提出侵权指控，成交供应商应承担由此而引起的一切法律责任和费用</w:t>
      </w:r>
      <w:r>
        <w:rPr>
          <w:rFonts w:hint="eastAsia" w:asciiTheme="minorEastAsia" w:hAnsiTheme="minorEastAsia" w:cstheme="minorEastAsia"/>
          <w:bCs/>
          <w:color w:val="auto"/>
          <w:sz w:val="24"/>
          <w:szCs w:val="24"/>
          <w:highlight w:val="none"/>
          <w:lang w:eastAsia="zh-CN"/>
        </w:rPr>
        <w:t>。</w:t>
      </w:r>
    </w:p>
    <w:p>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highlight w:val="none"/>
          <w:lang w:val="en-US" w:eastAsia="zh-CN" w:bidi="ar-SA"/>
        </w:rPr>
      </w:pPr>
      <w:bookmarkStart w:id="35" w:name="_Toc498442542"/>
      <w:r>
        <w:rPr>
          <w:rStyle w:val="11"/>
          <w:rFonts w:hint="eastAsia" w:eastAsia="宋体" w:asciiTheme="minorHAnsi" w:hAnsiTheme="minorHAnsi" w:cstheme="minorBidi"/>
          <w:b/>
          <w:color w:val="auto"/>
          <w:kern w:val="2"/>
          <w:sz w:val="32"/>
          <w:szCs w:val="22"/>
          <w:highlight w:val="none"/>
          <w:lang w:val="en-US" w:eastAsia="zh-CN" w:bidi="ar-SA"/>
        </w:rPr>
        <w:t>六、付款单位</w:t>
      </w:r>
      <w:bookmarkEnd w:id="35"/>
    </w:p>
    <w:p>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重庆中国三峡博物馆</w:t>
      </w:r>
    </w:p>
    <w:p>
      <w:pPr>
        <w:pStyle w:val="4"/>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Arial"/>
          <w:color w:val="auto"/>
          <w:sz w:val="28"/>
          <w:szCs w:val="28"/>
          <w:highlight w:val="none"/>
        </w:rPr>
      </w:pPr>
      <w:r>
        <w:rPr>
          <w:rFonts w:hint="eastAsia" w:ascii="宋体" w:hAnsi="宋体" w:eastAsia="宋体" w:cs="Arial"/>
          <w:color w:val="auto"/>
          <w:sz w:val="24"/>
          <w:szCs w:val="24"/>
          <w:highlight w:val="none"/>
        </w:rPr>
        <w:br w:type="page"/>
      </w:r>
      <w:bookmarkStart w:id="36" w:name="_Toc372538173"/>
      <w:bookmarkStart w:id="37" w:name="_Toc25725135"/>
    </w:p>
    <w:p>
      <w:pPr>
        <w:pStyle w:val="4"/>
        <w:jc w:val="center"/>
        <w:rPr>
          <w:rStyle w:val="11"/>
          <w:rFonts w:hint="eastAsia" w:ascii="Arial" w:hAnsi="Arial" w:eastAsia="黑体" w:cstheme="minorBidi"/>
          <w:b/>
          <w:color w:val="auto"/>
          <w:kern w:val="2"/>
          <w:sz w:val="32"/>
          <w:szCs w:val="22"/>
          <w:highlight w:val="none"/>
          <w:lang w:val="en-US" w:eastAsia="zh-CN" w:bidi="ar-SA"/>
        </w:rPr>
      </w:pPr>
      <w:r>
        <w:rPr>
          <w:rStyle w:val="11"/>
          <w:rFonts w:hint="eastAsia" w:ascii="Arial" w:hAnsi="Arial" w:eastAsia="黑体" w:cstheme="minorBidi"/>
          <w:b/>
          <w:color w:val="auto"/>
          <w:kern w:val="2"/>
          <w:sz w:val="32"/>
          <w:szCs w:val="22"/>
          <w:highlight w:val="none"/>
          <w:lang w:val="en-US" w:eastAsia="zh-CN" w:bidi="ar-SA"/>
        </w:rPr>
        <w:t>第五篇  合同关键条款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960" w:firstLineChars="400"/>
        <w:jc w:val="left"/>
        <w:textAlignment w:val="auto"/>
        <w:outlineLvl w:val="9"/>
        <w:rPr>
          <w:rFonts w:hint="eastAsia" w:ascii="宋体" w:hAnsi="宋体" w:cs="Arial"/>
          <w:color w:val="auto"/>
          <w:sz w:val="24"/>
          <w:szCs w:val="24"/>
          <w:highlight w:val="none"/>
          <w:lang w:val="en-US" w:eastAsia="zh-CN"/>
        </w:rPr>
      </w:pPr>
      <w:r>
        <w:rPr>
          <w:rFonts w:hint="eastAsia" w:ascii="宋体" w:hAnsi="宋体" w:cs="Arial"/>
          <w:color w:val="auto"/>
          <w:sz w:val="24"/>
          <w:szCs w:val="24"/>
          <w:highlight w:val="none"/>
          <w:lang w:val="en-US" w:eastAsia="zh-CN"/>
        </w:rPr>
        <w:t>其他未尽事宜由供需双方在采购合同中详细约定。</w:t>
      </w:r>
    </w:p>
    <w:p>
      <w:pPr>
        <w:pStyle w:val="4"/>
        <w:jc w:val="center"/>
        <w:rPr>
          <w:rFonts w:hint="eastAsia" w:ascii="宋体" w:hAnsi="宋体" w:eastAsia="宋体" w:cs="Arial"/>
          <w:color w:val="auto"/>
          <w:sz w:val="28"/>
          <w:szCs w:val="28"/>
          <w:highlight w:val="none"/>
        </w:rPr>
      </w:pPr>
    </w:p>
    <w:p>
      <w:pPr>
        <w:pStyle w:val="4"/>
        <w:jc w:val="both"/>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rPr>
          <w:rFonts w:hint="eastAsia" w:ascii="宋体" w:hAnsi="宋体" w:eastAsia="宋体" w:cs="Arial"/>
          <w:color w:val="auto"/>
          <w:sz w:val="28"/>
          <w:szCs w:val="28"/>
          <w:highlight w:val="none"/>
        </w:rPr>
      </w:pPr>
    </w:p>
    <w:p>
      <w:pPr>
        <w:numPr>
          <w:ilvl w:val="0"/>
          <w:numId w:val="0"/>
        </w:numPr>
        <w:spacing w:line="360" w:lineRule="auto"/>
        <w:jc w:val="center"/>
        <w:rPr>
          <w:rFonts w:hint="eastAsia" w:ascii="宋体" w:hAnsi="宋体" w:eastAsia="宋体" w:cs="Arial"/>
          <w:color w:val="auto"/>
          <w:sz w:val="36"/>
          <w:highlight w:val="none"/>
        </w:rPr>
      </w:pPr>
    </w:p>
    <w:p>
      <w:pPr>
        <w:numPr>
          <w:ilvl w:val="0"/>
          <w:numId w:val="0"/>
        </w:numPr>
        <w:spacing w:line="360" w:lineRule="auto"/>
        <w:jc w:val="center"/>
        <w:rPr>
          <w:rFonts w:hint="eastAsia" w:ascii="宋体" w:hAnsi="宋体" w:eastAsia="宋体" w:cs="Arial"/>
          <w:color w:val="auto"/>
          <w:sz w:val="36"/>
          <w:highlight w:val="none"/>
        </w:rPr>
      </w:pPr>
    </w:p>
    <w:p>
      <w:pPr>
        <w:numPr>
          <w:ilvl w:val="0"/>
          <w:numId w:val="0"/>
        </w:numPr>
        <w:spacing w:line="360" w:lineRule="auto"/>
        <w:jc w:val="center"/>
        <w:rPr>
          <w:rFonts w:hint="eastAsia" w:ascii="宋体" w:hAnsi="宋体" w:eastAsia="宋体" w:cs="Arial"/>
          <w:color w:val="auto"/>
          <w:sz w:val="36"/>
          <w:highlight w:val="none"/>
        </w:rPr>
      </w:pPr>
    </w:p>
    <w:p>
      <w:pPr>
        <w:pStyle w:val="4"/>
        <w:jc w:val="center"/>
        <w:rPr>
          <w:rStyle w:val="11"/>
          <w:rFonts w:hint="eastAsia" w:ascii="Arial" w:hAnsi="Arial" w:eastAsia="黑体" w:cstheme="minorBidi"/>
          <w:b/>
          <w:color w:val="auto"/>
          <w:kern w:val="2"/>
          <w:sz w:val="32"/>
          <w:szCs w:val="22"/>
          <w:highlight w:val="none"/>
          <w:lang w:val="en-US" w:eastAsia="zh-CN" w:bidi="ar-SA"/>
        </w:rPr>
      </w:pPr>
      <w:r>
        <w:rPr>
          <w:rStyle w:val="11"/>
          <w:rFonts w:hint="eastAsia" w:ascii="Arial" w:hAnsi="Arial" w:eastAsia="黑体" w:cstheme="minorBidi"/>
          <w:b/>
          <w:color w:val="auto"/>
          <w:kern w:val="2"/>
          <w:sz w:val="32"/>
          <w:szCs w:val="22"/>
          <w:highlight w:val="none"/>
          <w:lang w:val="en-US" w:eastAsia="zh-CN" w:bidi="ar-SA"/>
        </w:rPr>
        <w:t xml:space="preserve">第六篇   </w:t>
      </w:r>
      <w:bookmarkEnd w:id="36"/>
      <w:bookmarkEnd w:id="37"/>
      <w:r>
        <w:rPr>
          <w:rStyle w:val="11"/>
          <w:rFonts w:hint="eastAsia" w:ascii="Arial" w:hAnsi="Arial" w:eastAsia="黑体" w:cstheme="minorBidi"/>
          <w:b/>
          <w:color w:val="auto"/>
          <w:kern w:val="2"/>
          <w:sz w:val="32"/>
          <w:szCs w:val="22"/>
          <w:highlight w:val="none"/>
          <w:lang w:val="en-US" w:eastAsia="zh-CN" w:bidi="ar-SA"/>
        </w:rPr>
        <w:t>供应商编制响应文件要求</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highlight w:val="none"/>
        </w:rPr>
      </w:pPr>
      <w:r>
        <w:rPr>
          <w:rFonts w:hint="eastAsia" w:ascii="宋体" w:hAnsi="宋体" w:cs="Arial"/>
          <w:color w:val="auto"/>
          <w:sz w:val="24"/>
          <w:szCs w:val="24"/>
          <w:highlight w:val="none"/>
        </w:rPr>
        <w:t>一、</w:t>
      </w:r>
      <w:r>
        <w:rPr>
          <w:rFonts w:hint="eastAsia" w:ascii="宋体" w:hAnsi="宋体" w:cs="Arial"/>
          <w:b/>
          <w:bCs/>
          <w:color w:val="auto"/>
          <w:sz w:val="24"/>
          <w:szCs w:val="24"/>
          <w:highlight w:val="none"/>
        </w:rPr>
        <w:t>资格文件</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204" w:leftChars="0" w:right="0" w:rightChars="0" w:firstLine="0" w:firstLineChars="0"/>
        <w:jc w:val="both"/>
        <w:textAlignment w:val="auto"/>
        <w:outlineLvl w:val="9"/>
        <w:rPr>
          <w:rFonts w:ascii="宋体" w:hAnsi="宋体" w:cs="Arial"/>
          <w:color w:val="auto"/>
          <w:sz w:val="24"/>
          <w:szCs w:val="24"/>
          <w:highlight w:val="none"/>
        </w:rPr>
      </w:pPr>
      <w:r>
        <w:rPr>
          <w:rFonts w:hint="eastAsia" w:ascii="宋体" w:hAnsi="宋体" w:cs="Arial"/>
          <w:color w:val="auto"/>
          <w:sz w:val="24"/>
          <w:szCs w:val="24"/>
          <w:highlight w:val="none"/>
        </w:rPr>
        <w:t>营业执照或者法人证书复印件（加盖投标单位鲜章）</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204" w:leftChars="0" w:right="0" w:rightChars="0" w:firstLine="0" w:firstLineChars="0"/>
        <w:jc w:val="both"/>
        <w:textAlignment w:val="auto"/>
        <w:outlineLvl w:val="9"/>
        <w:rPr>
          <w:rFonts w:ascii="宋体" w:hAnsi="宋体" w:cs="Arial"/>
          <w:color w:val="auto"/>
          <w:sz w:val="24"/>
          <w:szCs w:val="24"/>
          <w:highlight w:val="none"/>
        </w:rPr>
      </w:pPr>
      <w:r>
        <w:rPr>
          <w:rFonts w:hint="eastAsia" w:ascii="宋体" w:hAnsi="宋体" w:cs="Arial"/>
          <w:color w:val="auto"/>
          <w:sz w:val="24"/>
          <w:szCs w:val="24"/>
          <w:highlight w:val="none"/>
        </w:rPr>
        <w:t>法定代表人身份证明书（格式）或者法定代表人授权委托书（格式）</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204" w:leftChars="0" w:right="0" w:rightChars="0" w:firstLine="0" w:firstLineChars="0"/>
        <w:jc w:val="both"/>
        <w:textAlignment w:val="auto"/>
        <w:outlineLvl w:val="9"/>
        <w:rPr>
          <w:rFonts w:ascii="宋体" w:hAnsi="宋体" w:cs="Arial"/>
          <w:color w:val="auto"/>
          <w:sz w:val="24"/>
          <w:szCs w:val="24"/>
          <w:highlight w:val="none"/>
        </w:rPr>
      </w:pPr>
      <w:r>
        <w:rPr>
          <w:rFonts w:hint="eastAsia" w:ascii="宋体" w:hAnsi="宋体" w:cs="Arial"/>
          <w:color w:val="auto"/>
          <w:sz w:val="24"/>
          <w:szCs w:val="24"/>
          <w:highlight w:val="none"/>
        </w:rPr>
        <w:t>诚信声明书（加盖投标单位鲜章）</w:t>
      </w:r>
    </w:p>
    <w:p>
      <w:pPr>
        <w:keepNext w:val="0"/>
        <w:keepLines w:val="0"/>
        <w:pageBreakBefore w:val="0"/>
        <w:widowControl w:val="0"/>
        <w:numPr>
          <w:ilvl w:val="0"/>
          <w:numId w:val="11"/>
        </w:numPr>
        <w:kinsoku/>
        <w:wordWrap/>
        <w:overflowPunct/>
        <w:topLinePunct w:val="0"/>
        <w:autoSpaceDE/>
        <w:autoSpaceDN/>
        <w:bidi w:val="0"/>
        <w:adjustRightInd/>
        <w:spacing w:line="460" w:lineRule="exact"/>
        <w:textAlignment w:val="auto"/>
        <w:outlineLvl w:val="9"/>
        <w:rPr>
          <w:rFonts w:ascii="Times New Roman" w:hAnsi="Times New Roman" w:eastAsia="宋体"/>
          <w:b/>
          <w:bCs/>
          <w:color w:val="auto"/>
          <w:sz w:val="24"/>
          <w:szCs w:val="24"/>
          <w:highlight w:val="none"/>
        </w:rPr>
      </w:pPr>
      <w:r>
        <w:rPr>
          <w:rFonts w:hint="eastAsia" w:ascii="宋体" w:hAnsi="宋体" w:cs="Arial"/>
          <w:b/>
          <w:bCs/>
          <w:color w:val="auto"/>
          <w:sz w:val="24"/>
          <w:szCs w:val="24"/>
          <w:highlight w:val="none"/>
        </w:rPr>
        <w:t>技术文件</w:t>
      </w:r>
    </w:p>
    <w:p>
      <w:pPr>
        <w:keepNext w:val="0"/>
        <w:keepLines w:val="0"/>
        <w:pageBreakBefore w:val="0"/>
        <w:widowControl w:val="0"/>
        <w:kinsoku/>
        <w:wordWrap/>
        <w:overflowPunct/>
        <w:topLinePunct w:val="0"/>
        <w:autoSpaceDE/>
        <w:autoSpaceDN/>
        <w:bidi w:val="0"/>
        <w:adjustRightInd/>
        <w:snapToGrid w:val="0"/>
        <w:spacing w:line="460" w:lineRule="exact"/>
        <w:ind w:left="0" w:leftChars="0"/>
        <w:textAlignment w:val="auto"/>
        <w:outlineLvl w:val="9"/>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 xml:space="preserve">    （一）技术部分 （格式、内容自拟，每页加盖投标单位鲜章）</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textAlignment w:val="auto"/>
        <w:outlineLvl w:val="9"/>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（二）商务部分 （格式、内容自拟，每页加盖投标单位鲜章）</w:t>
      </w:r>
    </w:p>
    <w:p>
      <w:pPr>
        <w:keepNext w:val="0"/>
        <w:keepLines w:val="0"/>
        <w:pageBreakBefore w:val="0"/>
        <w:widowControl w:val="0"/>
        <w:numPr>
          <w:ilvl w:val="0"/>
          <w:numId w:val="11"/>
        </w:numPr>
        <w:kinsoku/>
        <w:wordWrap/>
        <w:overflowPunct/>
        <w:topLinePunct w:val="0"/>
        <w:autoSpaceDE/>
        <w:autoSpaceDN/>
        <w:bidi w:val="0"/>
        <w:adjustRightInd/>
        <w:spacing w:line="460" w:lineRule="exact"/>
        <w:textAlignment w:val="auto"/>
        <w:outlineLvl w:val="9"/>
        <w:rPr>
          <w:rFonts w:ascii="宋体" w:hAnsi="宋体" w:cs="Arial"/>
          <w:b/>
          <w:bCs/>
          <w:color w:val="auto"/>
          <w:sz w:val="24"/>
          <w:szCs w:val="24"/>
          <w:highlight w:val="none"/>
        </w:rPr>
      </w:pPr>
      <w:r>
        <w:rPr>
          <w:rFonts w:hint="eastAsia" w:ascii="宋体" w:hAnsi="宋体" w:cs="Arial"/>
          <w:b/>
          <w:bCs/>
          <w:color w:val="auto"/>
          <w:sz w:val="24"/>
          <w:szCs w:val="24"/>
          <w:highlight w:val="none"/>
        </w:rPr>
        <w:t>经济文件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ascii="宋体" w:hAnsi="宋体" w:cs="Arial"/>
          <w:color w:val="auto"/>
          <w:sz w:val="24"/>
          <w:szCs w:val="24"/>
          <w:highlight w:val="none"/>
        </w:rPr>
      </w:pPr>
      <w:r>
        <w:rPr>
          <w:rFonts w:hint="eastAsia" w:ascii="宋体" w:hAnsi="宋体" w:cs="Arial"/>
          <w:color w:val="auto"/>
          <w:sz w:val="24"/>
          <w:szCs w:val="24"/>
          <w:highlight w:val="none"/>
        </w:rPr>
        <w:t>（一）报价函</w:t>
      </w:r>
      <w:r>
        <w:rPr>
          <w:rFonts w:hint="eastAsia"/>
          <w:color w:val="auto"/>
          <w:sz w:val="24"/>
          <w:szCs w:val="24"/>
          <w:highlight w:val="none"/>
        </w:rPr>
        <w:t>（格式）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color w:val="auto"/>
          <w:sz w:val="24"/>
          <w:szCs w:val="24"/>
          <w:highlight w:val="none"/>
        </w:rPr>
      </w:pPr>
      <w:r>
        <w:rPr>
          <w:rFonts w:hint="eastAsia"/>
          <w:color w:val="auto"/>
          <w:sz w:val="24"/>
          <w:szCs w:val="24"/>
          <w:highlight w:val="none"/>
        </w:rPr>
        <w:t>（二）</w:t>
      </w:r>
      <w:r>
        <w:rPr>
          <w:rFonts w:hint="eastAsia"/>
          <w:color w:val="auto"/>
          <w:sz w:val="24"/>
          <w:szCs w:val="24"/>
          <w:highlight w:val="none"/>
          <w:lang w:val="en-US" w:eastAsia="zh-CN"/>
        </w:rPr>
        <w:t>明细报价表</w:t>
      </w:r>
      <w:r>
        <w:rPr>
          <w:rFonts w:hint="eastAsia"/>
          <w:color w:val="auto"/>
          <w:sz w:val="24"/>
          <w:szCs w:val="24"/>
          <w:highlight w:val="none"/>
        </w:rPr>
        <w:t>（格式）</w:t>
      </w:r>
    </w:p>
    <w:p>
      <w:pPr>
        <w:keepNext w:val="0"/>
        <w:keepLines w:val="0"/>
        <w:pageBreakBefore w:val="0"/>
        <w:widowControl w:val="0"/>
        <w:numPr>
          <w:ilvl w:val="0"/>
          <w:numId w:val="11"/>
        </w:numPr>
        <w:kinsoku/>
        <w:wordWrap/>
        <w:overflowPunct/>
        <w:topLinePunct w:val="0"/>
        <w:autoSpaceDE/>
        <w:autoSpaceDN/>
        <w:bidi w:val="0"/>
        <w:adjustRightInd/>
        <w:spacing w:line="460" w:lineRule="exact"/>
        <w:textAlignment w:val="auto"/>
        <w:outlineLvl w:val="9"/>
        <w:rPr>
          <w:b/>
          <w:bCs/>
          <w:color w:val="auto"/>
          <w:sz w:val="24"/>
          <w:szCs w:val="24"/>
          <w:highlight w:val="none"/>
        </w:rPr>
      </w:pPr>
      <w:r>
        <w:rPr>
          <w:rFonts w:hint="eastAsia"/>
          <w:b/>
          <w:bCs/>
          <w:color w:val="auto"/>
          <w:sz w:val="24"/>
          <w:szCs w:val="24"/>
          <w:highlight w:val="none"/>
        </w:rPr>
        <w:t>其他文件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highlight w:val="none"/>
        </w:rPr>
      </w:pPr>
      <w:r>
        <w:rPr>
          <w:rFonts w:hint="eastAsia"/>
          <w:color w:val="auto"/>
          <w:sz w:val="24"/>
          <w:szCs w:val="24"/>
          <w:highlight w:val="none"/>
        </w:rPr>
        <w:t xml:space="preserve">    投标单位提供与评分有关的内容或者投标单位认为需要提供的其他文件（</w:t>
      </w:r>
      <w:r>
        <w:rPr>
          <w:rFonts w:hint="eastAsia" w:asciiTheme="minorEastAsia" w:hAnsiTheme="minorEastAsia"/>
          <w:color w:val="auto"/>
          <w:kern w:val="0"/>
          <w:sz w:val="24"/>
          <w:szCs w:val="24"/>
          <w:highlight w:val="none"/>
        </w:rPr>
        <w:t>每页加盖投标单位鲜章或骑缝章</w:t>
      </w:r>
      <w:r>
        <w:rPr>
          <w:rFonts w:hint="eastAsia"/>
          <w:color w:val="auto"/>
          <w:sz w:val="24"/>
          <w:szCs w:val="24"/>
          <w:highlight w:val="none"/>
        </w:rPr>
        <w:t>）</w:t>
      </w:r>
    </w:p>
    <w:p>
      <w:pPr>
        <w:spacing w:line="460" w:lineRule="exact"/>
        <w:rPr>
          <w:rFonts w:ascii="宋体" w:hAnsi="宋体" w:cs="Arial"/>
          <w:color w:val="auto"/>
          <w:sz w:val="24"/>
          <w:szCs w:val="24"/>
          <w:highlight w:val="none"/>
        </w:rPr>
      </w:pPr>
    </w:p>
    <w:p>
      <w:pPr>
        <w:spacing w:line="460" w:lineRule="exact"/>
        <w:rPr>
          <w:rFonts w:ascii="宋体" w:hAnsi="宋体" w:cs="Arial"/>
          <w:color w:val="auto"/>
          <w:sz w:val="24"/>
          <w:szCs w:val="24"/>
          <w:highlight w:val="none"/>
        </w:rPr>
      </w:pPr>
    </w:p>
    <w:p>
      <w:pPr>
        <w:spacing w:line="460" w:lineRule="exact"/>
        <w:rPr>
          <w:rFonts w:ascii="宋体" w:hAnsi="宋体" w:cs="Arial"/>
          <w:color w:val="auto"/>
          <w:sz w:val="24"/>
          <w:szCs w:val="24"/>
          <w:highlight w:val="none"/>
        </w:rPr>
      </w:pPr>
    </w:p>
    <w:p>
      <w:pPr>
        <w:pStyle w:val="2"/>
        <w:rPr>
          <w:rFonts w:ascii="宋体" w:hAnsi="宋体" w:cs="Arial"/>
          <w:color w:val="auto"/>
          <w:sz w:val="24"/>
          <w:szCs w:val="24"/>
          <w:highlight w:val="none"/>
        </w:rPr>
      </w:pPr>
    </w:p>
    <w:p>
      <w:pPr>
        <w:pStyle w:val="14"/>
        <w:rPr>
          <w:rFonts w:ascii="宋体" w:hAnsi="宋体" w:cs="Arial"/>
          <w:color w:val="auto"/>
          <w:sz w:val="24"/>
          <w:szCs w:val="24"/>
          <w:highlight w:val="none"/>
        </w:rPr>
      </w:pPr>
    </w:p>
    <w:p>
      <w:pPr>
        <w:pStyle w:val="14"/>
        <w:rPr>
          <w:rFonts w:ascii="宋体" w:hAnsi="宋体" w:cs="Arial"/>
          <w:color w:val="auto"/>
          <w:sz w:val="24"/>
          <w:szCs w:val="24"/>
          <w:highlight w:val="none"/>
        </w:rPr>
      </w:pPr>
    </w:p>
    <w:p>
      <w:pPr>
        <w:pStyle w:val="14"/>
        <w:rPr>
          <w:rFonts w:ascii="宋体" w:hAnsi="宋体" w:cs="Arial"/>
          <w:color w:val="auto"/>
          <w:sz w:val="24"/>
          <w:szCs w:val="24"/>
          <w:highlight w:val="none"/>
        </w:rPr>
      </w:pPr>
    </w:p>
    <w:p>
      <w:pPr>
        <w:pStyle w:val="14"/>
        <w:rPr>
          <w:rFonts w:ascii="宋体" w:hAnsi="宋体" w:cs="Arial"/>
          <w:color w:val="auto"/>
          <w:sz w:val="24"/>
          <w:szCs w:val="24"/>
          <w:highlight w:val="none"/>
        </w:rPr>
      </w:pPr>
    </w:p>
    <w:p>
      <w:pPr>
        <w:pStyle w:val="14"/>
        <w:rPr>
          <w:rFonts w:ascii="宋体" w:hAnsi="宋体" w:cs="Arial"/>
          <w:color w:val="auto"/>
          <w:sz w:val="24"/>
          <w:szCs w:val="24"/>
          <w:highlight w:val="none"/>
        </w:rPr>
      </w:pPr>
    </w:p>
    <w:p>
      <w:pPr>
        <w:pStyle w:val="14"/>
        <w:rPr>
          <w:rFonts w:ascii="宋体" w:hAnsi="宋体" w:cs="Arial"/>
          <w:color w:val="auto"/>
          <w:sz w:val="24"/>
          <w:szCs w:val="24"/>
          <w:highlight w:val="none"/>
        </w:rPr>
      </w:pPr>
    </w:p>
    <w:p>
      <w:pPr>
        <w:pStyle w:val="14"/>
        <w:rPr>
          <w:rFonts w:ascii="宋体" w:hAnsi="宋体" w:cs="Arial"/>
          <w:color w:val="auto"/>
          <w:sz w:val="24"/>
          <w:szCs w:val="24"/>
          <w:highlight w:val="none"/>
        </w:rPr>
      </w:pPr>
    </w:p>
    <w:p>
      <w:pPr>
        <w:pStyle w:val="14"/>
        <w:rPr>
          <w:rFonts w:ascii="宋体" w:hAnsi="宋体" w:cs="Arial"/>
          <w:color w:val="auto"/>
          <w:sz w:val="24"/>
          <w:szCs w:val="24"/>
          <w:highlight w:val="none"/>
        </w:rPr>
      </w:pPr>
    </w:p>
    <w:p>
      <w:pPr>
        <w:pStyle w:val="14"/>
        <w:rPr>
          <w:rFonts w:ascii="宋体" w:hAnsi="宋体" w:cs="Arial"/>
          <w:color w:val="auto"/>
          <w:sz w:val="24"/>
          <w:szCs w:val="24"/>
          <w:highlight w:val="none"/>
        </w:rPr>
      </w:pPr>
    </w:p>
    <w:p>
      <w:pPr>
        <w:spacing w:line="460" w:lineRule="exact"/>
        <w:rPr>
          <w:rFonts w:ascii="宋体" w:hAnsi="宋体" w:eastAsia="宋体" w:cs="Arial"/>
          <w:color w:val="auto"/>
          <w:sz w:val="24"/>
          <w:szCs w:val="24"/>
          <w:highlight w:val="none"/>
        </w:rPr>
      </w:pPr>
      <w:r>
        <w:rPr>
          <w:rFonts w:hint="eastAsia" w:ascii="宋体" w:hAnsi="宋体" w:cs="Arial"/>
          <w:color w:val="auto"/>
          <w:sz w:val="24"/>
          <w:szCs w:val="24"/>
          <w:highlight w:val="none"/>
        </w:rPr>
        <w:t>以下为投标响应文件</w:t>
      </w:r>
    </w:p>
    <w:p>
      <w:pPr>
        <w:pStyle w:val="5"/>
        <w:pageBreakBefore w:val="0"/>
        <w:numPr>
          <w:ilvl w:val="0"/>
          <w:numId w:val="12"/>
        </w:numPr>
        <w:kinsoku/>
        <w:wordWrap/>
        <w:overflowPunct/>
        <w:topLinePunct w:val="0"/>
        <w:autoSpaceDE/>
        <w:autoSpaceDN/>
        <w:bidi w:val="0"/>
        <w:adjustRightInd/>
        <w:spacing w:line="460" w:lineRule="exact"/>
        <w:ind w:firstLine="562"/>
        <w:textAlignment w:val="auto"/>
        <w:rPr>
          <w:rFonts w:hint="eastAsia" w:asciiTheme="minorEastAsia" w:hAnsiTheme="minorEastAsia" w:eastAsiaTheme="minorEastAsia" w:cstheme="minorEastAsia"/>
          <w:snapToGrid w:val="0"/>
          <w:color w:val="auto"/>
          <w:kern w:val="0"/>
          <w:sz w:val="24"/>
          <w:szCs w:val="24"/>
          <w:highlight w:val="none"/>
        </w:rPr>
      </w:pPr>
      <w:bookmarkStart w:id="38" w:name="_Toc372538174"/>
      <w:r>
        <w:rPr>
          <w:rFonts w:hint="eastAsia" w:asciiTheme="minorEastAsia" w:hAnsiTheme="minorEastAsia" w:eastAsiaTheme="minorEastAsia" w:cstheme="minorEastAsia"/>
          <w:snapToGrid w:val="0"/>
          <w:color w:val="auto"/>
          <w:kern w:val="0"/>
          <w:sz w:val="24"/>
          <w:szCs w:val="24"/>
          <w:highlight w:val="none"/>
        </w:rPr>
        <w:t>资格文件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（一）营业执照或者法人证书复印件（加盖投标单位鲜章）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（二）法定代表人身份证明书或者法定代表人授权委托书</w:t>
      </w:r>
    </w:p>
    <w:p>
      <w:pPr>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法定代表人身份证明书</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p>
    <w:p>
      <w:pPr>
        <w:pageBreakBefore w:val="0"/>
        <w:tabs>
          <w:tab w:val="left" w:pos="6300"/>
        </w:tabs>
        <w:kinsoku/>
        <w:wordWrap/>
        <w:overflowPunct/>
        <w:topLinePunct w:val="0"/>
        <w:autoSpaceDE/>
        <w:autoSpaceDN/>
        <w:bidi w:val="0"/>
        <w:adjustRightInd/>
        <w:snapToGrid w:val="0"/>
        <w:spacing w:line="460" w:lineRule="exact"/>
        <w:ind w:firstLine="74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（法定代表人姓名）在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（投标单位全称）任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（职务名称）职务，是__________________（投标单位全称）的法定代表人。</w:t>
      </w:r>
    </w:p>
    <w:p>
      <w:pPr>
        <w:pageBreakBefore w:val="0"/>
        <w:tabs>
          <w:tab w:val="left" w:pos="6300"/>
        </w:tabs>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
      </w:pPr>
    </w:p>
    <w:p>
      <w:pPr>
        <w:pageBreakBefore w:val="0"/>
        <w:tabs>
          <w:tab w:val="left" w:pos="6300"/>
        </w:tabs>
        <w:kinsoku/>
        <w:wordWrap/>
        <w:overflowPunct/>
        <w:topLinePunct w:val="0"/>
        <w:autoSpaceDE/>
        <w:autoSpaceDN/>
        <w:bidi w:val="0"/>
        <w:adjustRightInd/>
        <w:snapToGrid w:val="0"/>
        <w:spacing w:line="460" w:lineRule="exact"/>
        <w:ind w:firstLine="573"/>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tbl>
      <w:tblPr>
        <w:tblStyle w:val="12"/>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1" w:hRule="atLeast"/>
        </w:trPr>
        <w:tc>
          <w:tcPr>
            <w:tcW w:w="822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法定代表人身份证正反面复印件</w:t>
            </w: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tc>
      </w:tr>
    </w:tbl>
    <w:p>
      <w:pPr>
        <w:pStyle w:val="5"/>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color w:val="auto"/>
          <w:sz w:val="24"/>
          <w:szCs w:val="24"/>
          <w:highlight w:val="none"/>
        </w:rPr>
      </w:pPr>
      <w:bookmarkStart w:id="39" w:name="_Toc372538179"/>
      <w:r>
        <w:rPr>
          <w:rFonts w:hint="eastAsia" w:asciiTheme="minorEastAsia" w:hAnsiTheme="minorEastAsia" w:eastAsiaTheme="minorEastAsia" w:cstheme="minorEastAsia"/>
          <w:snapToGrid w:val="0"/>
          <w:color w:val="auto"/>
          <w:kern w:val="0"/>
          <w:sz w:val="24"/>
          <w:szCs w:val="24"/>
          <w:highlight w:val="none"/>
        </w:rPr>
        <w:t>法定代表人授权委托书</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重庆中国三峡博物馆：</w:t>
      </w:r>
    </w:p>
    <w:p>
      <w:pPr>
        <w:pageBreakBefore w:val="0"/>
        <w:kinsoku/>
        <w:wordWrap/>
        <w:overflowPunct/>
        <w:topLinePunct w:val="0"/>
        <w:autoSpaceDE/>
        <w:autoSpaceDN/>
        <w:bidi w:val="0"/>
        <w:adjustRightIn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（投标单位名称）的法定代表人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（被授权人姓名）身份证代码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代表我单位全权办理</w:t>
      </w:r>
      <w:r>
        <w:rPr>
          <w:rFonts w:hint="eastAsia" w:asciiTheme="minorEastAsia" w:hAnsiTheme="minorEastAsia" w:cstheme="minorEastAsia"/>
          <w:color w:val="auto"/>
          <w:sz w:val="24"/>
          <w:szCs w:val="24"/>
          <w:highlight w:val="none"/>
          <w:u w:val="single"/>
          <w:lang w:eastAsia="zh-CN"/>
        </w:rPr>
        <w:t>三峡博物馆互联网宽带服务</w:t>
      </w:r>
      <w:r>
        <w:rPr>
          <w:rFonts w:hint="eastAsia" w:asciiTheme="minorEastAsia" w:hAnsiTheme="minorEastAsia" w:eastAsiaTheme="minorEastAsia" w:cstheme="minorEastAsia"/>
          <w:color w:val="auto"/>
          <w:sz w:val="24"/>
          <w:szCs w:val="24"/>
          <w:highlight w:val="none"/>
        </w:rPr>
        <w:t>项目的投标、磋商、签约等工作，并签署全部有关文件、协议及合同。</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我单位对被授权人的签字负全部责任。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在撤消被授权人的授权书面通知以前，本授权委托书一直有效。被授权人在授权委托书有效期内签署的所有文件不因授权的撤消而失效。</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被授权人：                 法定代表人：</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(签字或盖章)                (签字或盖章)     </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tbl>
      <w:tblPr>
        <w:tblStyle w:val="12"/>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r>
              <w:rPr>
                <w:rFonts w:hint="eastAsia" w:asciiTheme="minorEastAsia" w:hAnsiTheme="minorEastAsia" w:eastAsiaTheme="minorEastAsia" w:cstheme="minorEastAsia"/>
                <w:color w:val="auto"/>
                <w:kern w:val="0"/>
                <w:sz w:val="24"/>
                <w:szCs w:val="24"/>
                <w:highlight w:val="none"/>
                <w:shd w:val="clear" w:color="auto" w:fill="FFFFFF"/>
              </w:rPr>
              <w:t>被授权人身份证正反面复印件</w:t>
            </w: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
            </w:pPr>
          </w:p>
        </w:tc>
      </w:tr>
      <w:bookmarkEnd w:id="39"/>
    </w:tbl>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（三）诚信声明书（格式）</w:t>
      </w:r>
    </w:p>
    <w:p>
      <w:pPr>
        <w:pStyle w:val="5"/>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诚信声明书</w:t>
      </w:r>
    </w:p>
    <w:p>
      <w:pPr>
        <w:pageBreakBefore w:val="0"/>
        <w:kinsoku/>
        <w:wordWrap/>
        <w:overflowPunct/>
        <w:topLinePunct w:val="0"/>
        <w:autoSpaceDE/>
        <w:autoSpaceDN/>
        <w:bidi w:val="0"/>
        <w:adjustRightInd/>
        <w:spacing w:line="460" w:lineRule="exact"/>
        <w:ind w:firstLine="480" w:firstLineChars="200"/>
        <w:jc w:val="center"/>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重庆中国三峡博物馆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（投标单位名称）郑重声明：</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ageBreakBefore w:val="0"/>
        <w:kinsoku/>
        <w:wordWrap/>
        <w:overflowPunct/>
        <w:topLinePunct w:val="0"/>
        <w:autoSpaceDE/>
        <w:autoSpaceDN/>
        <w:bidi w:val="0"/>
        <w:adjustRightInd/>
        <w:spacing w:line="46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我方对以上声明负全部法律责任。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ageBreakBefore w:val="0"/>
        <w:kinsoku/>
        <w:wordWrap/>
        <w:overflowPunct/>
        <w:topLinePunct w:val="0"/>
        <w:autoSpaceDE/>
        <w:autoSpaceDN/>
        <w:bidi w:val="0"/>
        <w:adjustRightInd/>
        <w:spacing w:line="460" w:lineRule="exact"/>
        <w:ind w:right="54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法定代表人或被授权代表：</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（签字或盖章）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p>
    <w:p>
      <w:pPr>
        <w:pageBreakBefore w:val="0"/>
        <w:numPr>
          <w:ilvl w:val="0"/>
          <w:numId w:val="13"/>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snapToGrid w:val="0"/>
          <w:color w:val="auto"/>
          <w:kern w:val="0"/>
          <w:sz w:val="24"/>
          <w:szCs w:val="24"/>
          <w:highlight w:val="none"/>
        </w:rPr>
      </w:pPr>
      <w:r>
        <w:rPr>
          <w:rFonts w:hint="eastAsia" w:asciiTheme="minorEastAsia" w:hAnsiTheme="minorEastAsia" w:eastAsiaTheme="minorEastAsia" w:cstheme="minorEastAsia"/>
          <w:b/>
          <w:snapToGrid w:val="0"/>
          <w:color w:val="auto"/>
          <w:kern w:val="0"/>
          <w:sz w:val="24"/>
          <w:szCs w:val="24"/>
          <w:highlight w:val="none"/>
        </w:rPr>
        <w:t>技术文件</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（一）技术部分 （格式、内容自拟，每页加盖投标单位鲜章）</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（二）商务部分 （格式、内容自拟，每页加盖投标单位鲜章）</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cstheme="minorEastAsia"/>
          <w:color w:val="auto"/>
          <w:sz w:val="24"/>
          <w:szCs w:val="24"/>
          <w:highlight w:val="none"/>
          <w:lang w:val="en-US" w:eastAsia="zh-CN"/>
        </w:rPr>
        <w:t>三、</w:t>
      </w:r>
      <w:r>
        <w:rPr>
          <w:rFonts w:hint="eastAsia" w:asciiTheme="minorEastAsia" w:hAnsiTheme="minorEastAsia" w:eastAsiaTheme="minorEastAsia" w:cstheme="minorEastAsia"/>
          <w:b/>
          <w:bCs/>
          <w:snapToGrid w:val="0"/>
          <w:color w:val="auto"/>
          <w:kern w:val="0"/>
          <w:sz w:val="24"/>
          <w:szCs w:val="24"/>
          <w:highlight w:val="none"/>
        </w:rPr>
        <w:t>经济文件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（一）报价函（格式）</w:t>
      </w:r>
    </w:p>
    <w:p>
      <w:pPr>
        <w:pStyle w:val="5"/>
        <w:pageBreakBefore w:val="0"/>
        <w:kinsoku/>
        <w:wordWrap/>
        <w:overflowPunct/>
        <w:topLinePunct w:val="0"/>
        <w:autoSpaceDE/>
        <w:autoSpaceDN/>
        <w:bidi w:val="0"/>
        <w:adjustRightInd/>
        <w:spacing w:line="460" w:lineRule="exact"/>
        <w:ind w:firstLine="562"/>
        <w:jc w:val="center"/>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报 价 函</w:t>
      </w:r>
      <w:bookmarkEnd w:id="38"/>
      <w:bookmarkStart w:id="40" w:name="_Toc372538175"/>
    </w:p>
    <w:p>
      <w:pPr>
        <w:pStyle w:val="5"/>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重庆中国三峡博物馆：</w:t>
      </w:r>
    </w:p>
    <w:p>
      <w:pPr>
        <w:pStyle w:val="5"/>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我单位收到贵单位</w:t>
      </w:r>
      <w:r>
        <w:rPr>
          <w:rFonts w:hint="eastAsia" w:asciiTheme="minorEastAsia" w:hAnsiTheme="minorEastAsia" w:eastAsiaTheme="minorEastAsia" w:cstheme="minorEastAsia"/>
          <w:color w:val="auto"/>
          <w:sz w:val="24"/>
          <w:szCs w:val="24"/>
          <w:highlight w:val="none"/>
          <w:u w:val="single"/>
        </w:rPr>
        <w:t>《三峡博物馆互联网宽带服务</w:t>
      </w:r>
      <w:r>
        <w:rPr>
          <w:rFonts w:hint="eastAsia" w:asciiTheme="minorEastAsia" w:hAnsiTheme="minorEastAsia" w:eastAsiaTheme="minorEastAsia" w:cstheme="minorEastAsia"/>
          <w:color w:val="auto"/>
          <w:sz w:val="24"/>
          <w:szCs w:val="24"/>
          <w:highlight w:val="none"/>
          <w:u w:val="single"/>
        </w:rPr>
        <w:t>询比文件》</w:t>
      </w:r>
      <w:r>
        <w:rPr>
          <w:rFonts w:hint="eastAsia" w:asciiTheme="minorEastAsia" w:hAnsiTheme="minorEastAsia" w:eastAsiaTheme="minorEastAsia" w:cstheme="minorEastAsia"/>
          <w:color w:val="auto"/>
          <w:sz w:val="24"/>
          <w:szCs w:val="24"/>
          <w:highlight w:val="none"/>
        </w:rPr>
        <w:t>，通过我单位的授权代表，向贵单位递交全套投标文件参与下列项目的投标报价，现为我单位的一切投标行为作郑重承诺及声明如下：</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报价项目名称：</w:t>
      </w:r>
      <w:r>
        <w:rPr>
          <w:rFonts w:hint="eastAsia" w:asciiTheme="minorEastAsia" w:hAnsiTheme="minorEastAsia" w:cstheme="minorEastAsia"/>
          <w:color w:val="auto"/>
          <w:sz w:val="24"/>
          <w:szCs w:val="24"/>
          <w:highlight w:val="none"/>
          <w:u w:val="single"/>
          <w:lang w:eastAsia="zh-CN"/>
        </w:rPr>
        <w:t>三峡博物馆互联网宽带服务</w:t>
      </w:r>
      <w:r>
        <w:rPr>
          <w:rFonts w:hint="eastAsia" w:asciiTheme="minorEastAsia" w:hAnsiTheme="minorEastAsia" w:eastAsiaTheme="minorEastAsia" w:cstheme="minorEastAsia"/>
          <w:color w:val="auto"/>
          <w:sz w:val="24"/>
          <w:szCs w:val="24"/>
          <w:highlight w:val="none"/>
        </w:rPr>
        <w:t>。</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  我单位已认真阅读了</w:t>
      </w:r>
      <w:r>
        <w:rPr>
          <w:rFonts w:hint="eastAsia" w:asciiTheme="minorEastAsia" w:hAnsiTheme="minorEastAsia" w:eastAsiaTheme="minorEastAsia" w:cstheme="minorEastAsia"/>
          <w:color w:val="auto"/>
          <w:sz w:val="24"/>
          <w:szCs w:val="24"/>
          <w:highlight w:val="none"/>
          <w:u w:val="single"/>
        </w:rPr>
        <w:t>《三峡博物馆互联网宽带服务</w:t>
      </w:r>
      <w:r>
        <w:rPr>
          <w:rFonts w:hint="eastAsia" w:asciiTheme="minorEastAsia" w:hAnsiTheme="minorEastAsia" w:eastAsiaTheme="minorEastAsia" w:cstheme="minorEastAsia"/>
          <w:color w:val="auto"/>
          <w:sz w:val="24"/>
          <w:szCs w:val="24"/>
          <w:highlight w:val="none"/>
          <w:u w:val="single"/>
        </w:rPr>
        <w:t>询比文件》</w:t>
      </w:r>
      <w:r>
        <w:rPr>
          <w:rFonts w:hint="eastAsia" w:asciiTheme="minorEastAsia" w:hAnsiTheme="minorEastAsia" w:eastAsiaTheme="minorEastAsia" w:cstheme="minorEastAsia"/>
          <w:color w:val="auto"/>
          <w:sz w:val="24"/>
          <w:szCs w:val="24"/>
          <w:highlight w:val="none"/>
        </w:rPr>
        <w:t>，完全清楚理解其内容及规约，同意接受采购文件的要求，均没有任何异议、质疑和误解之处。</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我单位完全服从和尊重评审结果和决定。</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同意按询比文件要求认真履行成交人的义务，若我方行为不当而损害了贵单位的合法权益，我单位愿在任何时候无条件承担相应的缔约过失责任和经济赔偿。</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  我单位在本次投标活动中，不以任何不正当的手段影响、串通、排斥有关当事人或谋取、施予非法利益，如有行为不当，愿独自承担此行为所造成的后果和法律责任。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  以上承诺均涵盖整套投标文件。</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  按询比文件要求，我单位愿意以（人民币）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），作为此次投标的最终报价。</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法定代表人或被授权代表：</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（签字或盖章）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投标单位（全称）：        （公章）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联系电话：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w:t>
      </w:r>
      <w:bookmarkEnd w:id="40"/>
    </w:p>
    <w:p>
      <w:pPr>
        <w:pageBreakBefore w:val="0"/>
        <w:numPr>
          <w:ilvl w:val="0"/>
          <w:numId w:val="14"/>
        </w:numPr>
        <w:kinsoku/>
        <w:wordWrap/>
        <w:overflowPunct/>
        <w:topLinePunct w:val="0"/>
        <w:autoSpaceDE/>
        <w:autoSpaceDN/>
        <w:bidi w:val="0"/>
        <w:adjustRightInd/>
        <w:spacing w:line="460" w:lineRule="exac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明细报价表（格式）</w:t>
      </w:r>
    </w:p>
    <w:p>
      <w:pPr>
        <w:pStyle w:val="2"/>
        <w:numPr>
          <w:ilvl w:val="0"/>
          <w:numId w:val="0"/>
        </w:numPr>
        <w:rPr>
          <w:rFonts w:hint="eastAsia"/>
          <w:color w:val="auto"/>
          <w:highlight w:val="none"/>
        </w:rPr>
      </w:pP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val="en-US" w:eastAsia="zh-CN"/>
        </w:rPr>
        <w:t>三峡博物馆互联网宽带服务</w:t>
      </w:r>
    </w:p>
    <w:tbl>
      <w:tblPr>
        <w:tblStyle w:val="12"/>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64"/>
        <w:gridCol w:w="2249"/>
        <w:gridCol w:w="1894"/>
        <w:gridCol w:w="81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6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224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内容</w:t>
            </w: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综合单价</w:t>
            </w:r>
          </w:p>
        </w:tc>
        <w:tc>
          <w:tcPr>
            <w:tcW w:w="817"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268"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w:t>
            </w:r>
            <w:r>
              <w:rPr>
                <w:rFonts w:hint="eastAsia" w:asciiTheme="minorEastAsia" w:hAnsiTheme="minorEastAsia" w:eastAsiaTheme="minorEastAsia" w:cstheme="minorEastAsia"/>
                <w:color w:val="auto"/>
                <w:sz w:val="24"/>
                <w:szCs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p>
        </w:tc>
        <w:tc>
          <w:tcPr>
            <w:tcW w:w="817" w:type="dxa"/>
          </w:tcPr>
          <w:p>
            <w:pPr>
              <w:keepNext w:val="0"/>
              <w:keepLines w:val="0"/>
              <w:pageBreakBefore w:val="0"/>
              <w:suppressLineNumbers w:val="0"/>
              <w:tabs>
                <w:tab w:val="left" w:pos="312"/>
              </w:tabs>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
            </w:pPr>
          </w:p>
        </w:tc>
        <w:tc>
          <w:tcPr>
            <w:tcW w:w="224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2489" w:type="dxa"/>
            <w:gridSpan w:val="2"/>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 计（与报价函的报价一致，如不一致，以</w:t>
            </w:r>
            <w:r>
              <w:rPr>
                <w:rFonts w:hint="eastAsia" w:asciiTheme="minorEastAsia" w:hAnsiTheme="minorEastAsia" w:eastAsiaTheme="minorEastAsia" w:cstheme="minorEastAsia"/>
                <w:color w:val="auto"/>
                <w:sz w:val="24"/>
                <w:szCs w:val="24"/>
                <w:highlight w:val="none"/>
                <w:lang w:eastAsia="zh-CN"/>
              </w:rPr>
              <w:t>最小金额</w:t>
            </w:r>
            <w:r>
              <w:rPr>
                <w:rFonts w:hint="eastAsia" w:asciiTheme="minorEastAsia" w:hAnsiTheme="minorEastAsia" w:eastAsiaTheme="minorEastAsia" w:cstheme="minorEastAsia"/>
                <w:color w:val="auto"/>
                <w:sz w:val="24"/>
                <w:szCs w:val="24"/>
                <w:highlight w:val="none"/>
              </w:rPr>
              <w:t>为准）</w:t>
            </w:r>
          </w:p>
        </w:tc>
        <w:tc>
          <w:tcPr>
            <w:tcW w:w="6228" w:type="dxa"/>
            <w:gridSpan w:val="4"/>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人民币（大写）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 xml:space="preserve">               小写： </w:t>
            </w:r>
          </w:p>
        </w:tc>
      </w:tr>
    </w:tbl>
    <w:p>
      <w:pPr>
        <w:pageBreakBefore w:val="0"/>
        <w:kinsoku/>
        <w:wordWrap/>
        <w:overflowPunct/>
        <w:topLinePunct w:val="0"/>
        <w:autoSpaceDE/>
        <w:autoSpaceDN/>
        <w:bidi w:val="0"/>
        <w:adjustRightInd/>
        <w:snapToGrid w:val="0"/>
        <w:spacing w:line="460" w:lineRule="exact"/>
        <w:rPr>
          <w:rFonts w:hint="eastAsia" w:asciiTheme="minorEastAsia" w:hAnsiTheme="minorEastAsia" w:eastAsiaTheme="minorEastAsia" w:cstheme="minorEastAsia"/>
          <w:color w:val="auto"/>
          <w:sz w:val="24"/>
          <w:szCs w:val="24"/>
          <w:highlight w:val="none"/>
          <w:bdr w:val="single" w:color="auto" w:sz="4" w:space="0"/>
        </w:rPr>
      </w:pPr>
      <w:r>
        <w:rPr>
          <w:rFonts w:hint="eastAsia" w:asciiTheme="minorEastAsia" w:hAnsiTheme="minorEastAsia" w:eastAsiaTheme="minorEastAsia" w:cstheme="minorEastAsia"/>
          <w:color w:val="auto"/>
          <w:sz w:val="24"/>
          <w:szCs w:val="24"/>
          <w:highlight w:val="none"/>
        </w:rPr>
        <w:t>（此表</w:t>
      </w:r>
      <w:r>
        <w:rPr>
          <w:rFonts w:hint="eastAsia" w:asciiTheme="minorEastAsia" w:hAnsiTheme="minorEastAsia" w:cstheme="minorEastAsia"/>
          <w:color w:val="auto"/>
          <w:sz w:val="24"/>
          <w:szCs w:val="24"/>
          <w:highlight w:val="none"/>
          <w:lang w:val="en-US" w:eastAsia="zh-CN"/>
        </w:rPr>
        <w:t>为样表，可</w:t>
      </w:r>
      <w:r>
        <w:rPr>
          <w:rFonts w:hint="eastAsia" w:asciiTheme="minorEastAsia" w:hAnsiTheme="minorEastAsia" w:eastAsiaTheme="minorEastAsia" w:cstheme="minorEastAsia"/>
          <w:color w:val="auto"/>
          <w:sz w:val="24"/>
          <w:szCs w:val="24"/>
          <w:highlight w:val="none"/>
        </w:rPr>
        <w:t>根据各种资费内容自行设计）</w:t>
      </w: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投标单位：</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法定代表人或被授权代表</w:t>
      </w:r>
      <w:r>
        <w:rPr>
          <w:rFonts w:hint="eastAsia" w:asciiTheme="minorEastAsia" w:hAnsiTheme="minorEastAsia" w:eastAsiaTheme="minorEastAsia" w:cstheme="minorEastAsia"/>
          <w:color w:val="auto"/>
          <w:sz w:val="24"/>
          <w:szCs w:val="24"/>
          <w:highlight w:val="none"/>
          <w:lang w:eastAsia="zh-CN"/>
        </w:rPr>
        <w:t>：</w:t>
      </w: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投标单位</w:t>
      </w:r>
      <w:r>
        <w:rPr>
          <w:rFonts w:hint="eastAsia" w:asciiTheme="minorEastAsia" w:hAnsiTheme="minorEastAsia" w:eastAsiaTheme="minorEastAsia" w:cstheme="minorEastAsia"/>
          <w:color w:val="auto"/>
          <w:sz w:val="24"/>
          <w:szCs w:val="24"/>
          <w:highlight w:val="none"/>
        </w:rPr>
        <w:t>公章）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val="en-US" w:eastAsia="zh-CN"/>
        </w:rPr>
        <w:t xml:space="preserve">    </w:t>
      </w:r>
    </w:p>
    <w:p>
      <w:pPr>
        <w:pStyle w:val="8"/>
        <w:pageBreakBefore w:val="0"/>
        <w:kinsoku/>
        <w:wordWrap/>
        <w:overflowPunct/>
        <w:topLinePunct w:val="0"/>
        <w:autoSpaceDE/>
        <w:autoSpaceDN/>
        <w:bidi w:val="0"/>
        <w:adjustRightInd/>
        <w:spacing w:line="460" w:lineRule="exact"/>
        <w:ind w:firstLine="3960" w:firstLineChars="165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     月    日</w:t>
      </w:r>
    </w:p>
    <w:p>
      <w:pPr>
        <w:pStyle w:val="2"/>
        <w:numPr>
          <w:ilvl w:val="0"/>
          <w:numId w:val="0"/>
        </w:numPr>
        <w:rPr>
          <w:rFonts w:hint="eastAsia"/>
          <w:color w:val="auto"/>
          <w:highlight w:val="none"/>
        </w:rPr>
      </w:pP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cstheme="minorEastAsia"/>
          <w:b/>
          <w:bCs/>
          <w:snapToGrid w:val="0"/>
          <w:color w:val="auto"/>
          <w:kern w:val="0"/>
          <w:sz w:val="24"/>
          <w:szCs w:val="24"/>
          <w:highlight w:val="none"/>
          <w:lang w:val="en-US" w:eastAsia="zh-CN"/>
        </w:rPr>
        <w:t>四、</w:t>
      </w:r>
      <w:r>
        <w:rPr>
          <w:rFonts w:hint="eastAsia" w:asciiTheme="minorEastAsia" w:hAnsiTheme="minorEastAsia" w:eastAsiaTheme="minorEastAsia" w:cstheme="minorEastAsia"/>
          <w:b/>
          <w:bCs/>
          <w:snapToGrid w:val="0"/>
          <w:color w:val="auto"/>
          <w:kern w:val="0"/>
          <w:sz w:val="24"/>
          <w:szCs w:val="24"/>
          <w:highlight w:val="none"/>
        </w:rPr>
        <w:t>其他文件（不作为必要要件）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投标单位提供与评分有关的内容或者投标单位认为需要提供的其他文件（每页加盖投标单位鲜章或骑缝章）</w:t>
      </w:r>
    </w:p>
    <w:p>
      <w:pPr>
        <w:numPr>
          <w:ilvl w:val="0"/>
          <w:numId w:val="0"/>
        </w:numPr>
        <w:jc w:val="both"/>
        <w:rPr>
          <w:rFonts w:hint="eastAsia" w:ascii="宋体" w:hAnsi="宋体" w:cs="Arial"/>
          <w:snapToGrid w:val="0"/>
          <w:color w:val="auto"/>
          <w:kern w:val="0"/>
          <w:sz w:val="30"/>
          <w:szCs w:val="30"/>
          <w:highlight w:val="none"/>
          <w:lang w:val="en-US" w:eastAsia="zh-CN"/>
        </w:rPr>
      </w:pPr>
    </w:p>
    <w:p>
      <w:pPr>
        <w:rPr>
          <w:color w:val="auto"/>
          <w:highlight w:val="none"/>
        </w:rPr>
      </w:pPr>
    </w:p>
    <w:p>
      <w:pPr>
        <w:rPr>
          <w:color w:val="auto"/>
          <w:highlight w:val="none"/>
        </w:rPr>
      </w:pPr>
    </w:p>
    <w:p>
      <w:pPr>
        <w:rPr>
          <w:color w:val="auto"/>
          <w:highlight w:val="none"/>
        </w:rPr>
      </w:pPr>
    </w:p>
    <w:sectPr>
      <w:headerReference r:id="rId3" w:type="default"/>
      <w:footerReference r:id="rId4" w:type="default"/>
      <w:pgSz w:w="11907" w:h="16840"/>
      <w:pgMar w:top="1440" w:right="1797" w:bottom="1440" w:left="1797"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2000503000000020004"/>
    <w:charset w:val="00"/>
    <w:family w:val="roman"/>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sz w:val="28"/>
      </w:rPr>
    </w:pPr>
    <w:r>
      <w:rPr>
        <w:rStyle w:val="11"/>
        <w:sz w:val="28"/>
      </w:rPr>
      <w:t>-</w:t>
    </w:r>
    <w:r>
      <w:rPr>
        <w:sz w:val="28"/>
      </w:rPr>
      <w:fldChar w:fldCharType="begin"/>
    </w:r>
    <w:r>
      <w:rPr>
        <w:rStyle w:val="11"/>
        <w:sz w:val="28"/>
      </w:rPr>
      <w:instrText xml:space="preserve">PAGE  </w:instrText>
    </w:r>
    <w:r>
      <w:rPr>
        <w:sz w:val="28"/>
      </w:rPr>
      <w:fldChar w:fldCharType="separate"/>
    </w:r>
    <w:r>
      <w:rPr>
        <w:rStyle w:val="11"/>
        <w:sz w:val="28"/>
      </w:rPr>
      <w:t>2</w:t>
    </w:r>
    <w:r>
      <w:rPr>
        <w:sz w:val="28"/>
      </w:rPr>
      <w:fldChar w:fldCharType="end"/>
    </w:r>
    <w:r>
      <w:rPr>
        <w:rStyle w:val="11"/>
        <w:sz w:val="28"/>
      </w:rPr>
      <w:t>-</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A33E5"/>
    <w:multiLevelType w:val="singleLevel"/>
    <w:tmpl w:val="9D3A33E5"/>
    <w:lvl w:ilvl="0" w:tentative="0">
      <w:start w:val="1"/>
      <w:numFmt w:val="decimal"/>
      <w:suff w:val="nothing"/>
      <w:lvlText w:val="%1、"/>
      <w:lvlJc w:val="left"/>
      <w:pPr>
        <w:ind w:left="905" w:leftChars="0" w:firstLine="0" w:firstLineChars="0"/>
      </w:pPr>
    </w:lvl>
  </w:abstractNum>
  <w:abstractNum w:abstractNumId="1">
    <w:nsid w:val="B3046ECB"/>
    <w:multiLevelType w:val="singleLevel"/>
    <w:tmpl w:val="B3046ECB"/>
    <w:lvl w:ilvl="0" w:tentative="0">
      <w:start w:val="3"/>
      <w:numFmt w:val="chineseCounting"/>
      <w:suff w:val="nothing"/>
      <w:lvlText w:val="（%1）"/>
      <w:lvlJc w:val="left"/>
      <w:pPr>
        <w:ind w:left="360" w:firstLine="0"/>
      </w:pPr>
      <w:rPr>
        <w:rFonts w:hint="eastAsia"/>
      </w:rPr>
    </w:lvl>
  </w:abstractNum>
  <w:abstractNum w:abstractNumId="2">
    <w:nsid w:val="B6C596DF"/>
    <w:multiLevelType w:val="singleLevel"/>
    <w:tmpl w:val="B6C596DF"/>
    <w:lvl w:ilvl="0" w:tentative="0">
      <w:start w:val="2"/>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4">
    <w:nsid w:val="5035EE54"/>
    <w:multiLevelType w:val="singleLevel"/>
    <w:tmpl w:val="5035EE54"/>
    <w:lvl w:ilvl="0" w:tentative="0">
      <w:start w:val="2"/>
      <w:numFmt w:val="decimal"/>
      <w:suff w:val="nothing"/>
      <w:lvlText w:val="%1、"/>
      <w:lvlJc w:val="left"/>
    </w:lvl>
  </w:abstractNum>
  <w:abstractNum w:abstractNumId="5">
    <w:nsid w:val="570D2328"/>
    <w:multiLevelType w:val="singleLevel"/>
    <w:tmpl w:val="570D2328"/>
    <w:lvl w:ilvl="0" w:tentative="0">
      <w:start w:val="8"/>
      <w:numFmt w:val="decimal"/>
      <w:suff w:val="nothing"/>
      <w:lvlText w:val="%1、"/>
      <w:lvlJc w:val="left"/>
    </w:lvl>
  </w:abstractNum>
  <w:abstractNum w:abstractNumId="6">
    <w:nsid w:val="5A6FCD4C"/>
    <w:multiLevelType w:val="singleLevel"/>
    <w:tmpl w:val="5A6FCD4C"/>
    <w:lvl w:ilvl="0" w:tentative="0">
      <w:start w:val="1"/>
      <w:numFmt w:val="decimal"/>
      <w:suff w:val="nothing"/>
      <w:lvlText w:val="%1、"/>
      <w:lvlJc w:val="left"/>
    </w:lvl>
  </w:abstractNum>
  <w:abstractNum w:abstractNumId="7">
    <w:nsid w:val="5A710D63"/>
    <w:multiLevelType w:val="singleLevel"/>
    <w:tmpl w:val="5A710D63"/>
    <w:lvl w:ilvl="0" w:tentative="0">
      <w:start w:val="1"/>
      <w:numFmt w:val="decimal"/>
      <w:suff w:val="nothing"/>
      <w:lvlText w:val="%1、"/>
      <w:lvlJc w:val="left"/>
    </w:lvl>
  </w:abstractNum>
  <w:abstractNum w:abstractNumId="8">
    <w:nsid w:val="5A712E63"/>
    <w:multiLevelType w:val="singleLevel"/>
    <w:tmpl w:val="5A712E63"/>
    <w:lvl w:ilvl="0" w:tentative="0">
      <w:start w:val="1"/>
      <w:numFmt w:val="chineseCounting"/>
      <w:suff w:val="nothing"/>
      <w:lvlText w:val="（%1）"/>
      <w:lvlJc w:val="left"/>
    </w:lvl>
  </w:abstractNum>
  <w:abstractNum w:abstractNumId="9">
    <w:nsid w:val="5A712F59"/>
    <w:multiLevelType w:val="singleLevel"/>
    <w:tmpl w:val="5A712F59"/>
    <w:lvl w:ilvl="0" w:tentative="0">
      <w:start w:val="2"/>
      <w:numFmt w:val="chineseCounting"/>
      <w:suff w:val="nothing"/>
      <w:lvlText w:val="%1、"/>
      <w:lvlJc w:val="left"/>
    </w:lvl>
  </w:abstractNum>
  <w:abstractNum w:abstractNumId="10">
    <w:nsid w:val="5A7131F6"/>
    <w:multiLevelType w:val="singleLevel"/>
    <w:tmpl w:val="5A7131F6"/>
    <w:lvl w:ilvl="0" w:tentative="0">
      <w:start w:val="1"/>
      <w:numFmt w:val="chineseCounting"/>
      <w:suff w:val="nothing"/>
      <w:lvlText w:val="%1、"/>
      <w:lvlJc w:val="left"/>
    </w:lvl>
  </w:abstractNum>
  <w:abstractNum w:abstractNumId="11">
    <w:nsid w:val="5A71356A"/>
    <w:multiLevelType w:val="singleLevel"/>
    <w:tmpl w:val="5A71356A"/>
    <w:lvl w:ilvl="0" w:tentative="0">
      <w:start w:val="2"/>
      <w:numFmt w:val="chineseCounting"/>
      <w:suff w:val="nothing"/>
      <w:lvlText w:val="%1、"/>
      <w:lvlJc w:val="left"/>
    </w:lvl>
  </w:abstractNum>
  <w:abstractNum w:abstractNumId="12">
    <w:nsid w:val="62C95A93"/>
    <w:multiLevelType w:val="singleLevel"/>
    <w:tmpl w:val="62C95A93"/>
    <w:lvl w:ilvl="0" w:tentative="0">
      <w:start w:val="1"/>
      <w:numFmt w:val="decimal"/>
      <w:lvlText w:val="%1."/>
      <w:lvlJc w:val="left"/>
      <w:pPr>
        <w:tabs>
          <w:tab w:val="left" w:pos="312"/>
        </w:tabs>
      </w:pPr>
    </w:lvl>
  </w:abstractNum>
  <w:abstractNum w:abstractNumId="13">
    <w:nsid w:val="69BD131E"/>
    <w:multiLevelType w:val="singleLevel"/>
    <w:tmpl w:val="69BD131E"/>
    <w:lvl w:ilvl="0" w:tentative="0">
      <w:start w:val="2"/>
      <w:numFmt w:val="chineseCounting"/>
      <w:suff w:val="nothing"/>
      <w:lvlText w:val="（%1）"/>
      <w:lvlJc w:val="left"/>
    </w:lvl>
  </w:abstractNum>
  <w:num w:numId="1">
    <w:abstractNumId w:val="3"/>
  </w:num>
  <w:num w:numId="2">
    <w:abstractNumId w:val="2"/>
  </w:num>
  <w:num w:numId="3">
    <w:abstractNumId w:val="7"/>
  </w:num>
  <w:num w:numId="4">
    <w:abstractNumId w:val="6"/>
  </w:num>
  <w:num w:numId="5">
    <w:abstractNumId w:val="12"/>
  </w:num>
  <w:num w:numId="6">
    <w:abstractNumId w:val="4"/>
  </w:num>
  <w:num w:numId="7">
    <w:abstractNumId w:val="5"/>
  </w:num>
  <w:num w:numId="8">
    <w:abstractNumId w:val="1"/>
  </w:num>
  <w:num w:numId="9">
    <w:abstractNumId w:val="0"/>
  </w:num>
  <w:num w:numId="10">
    <w:abstractNumId w:val="8"/>
  </w:num>
  <w:num w:numId="11">
    <w:abstractNumId w:val="9"/>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3170B"/>
    <w:rsid w:val="1E23170B"/>
    <w:rsid w:val="335454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snapToGrid w:val="0"/>
      <w:spacing w:line="360" w:lineRule="atLeast"/>
      <w:outlineLvl w:val="0"/>
    </w:pPr>
    <w:rPr>
      <w:rFonts w:ascii="宋体" w:hAnsiTheme="minorHAnsi" w:eastAsiaTheme="minorEastAsia" w:cstheme="minorBidi"/>
      <w:sz w:val="28"/>
      <w:szCs w:val="22"/>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b/>
      <w:kern w:val="2"/>
      <w:sz w:val="32"/>
      <w:lang w:val="en-US" w:eastAsia="zh-CN" w:bidi="ar-SA"/>
    </w:rPr>
  </w:style>
  <w:style w:type="character" w:default="1" w:styleId="10">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uiPriority w:val="0"/>
  </w:style>
  <w:style w:type="paragraph" w:styleId="9">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uiPriority w:val="0"/>
  </w:style>
  <w:style w:type="paragraph" w:customStyle="1" w:styleId="13">
    <w:name w:val="首行缩进"/>
    <w:basedOn w:val="1"/>
    <w:qFormat/>
    <w:uiPriority w:val="0"/>
    <w:pPr>
      <w:spacing w:line="360" w:lineRule="auto"/>
      <w:ind w:firstLine="420" w:firstLineChars="200"/>
    </w:pPr>
  </w:style>
  <w:style w:type="paragraph" w:customStyle="1" w:styleId="14">
    <w:name w:val="默认"/>
    <w:qFormat/>
    <w:uiPriority w:val="0"/>
    <w:rPr>
      <w:rFonts w:hint="eastAsia" w:ascii="Arial Unicode MS" w:hAnsi="Arial Unicode MS" w:eastAsia="Helvetica Neue"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2026-04-20T03:25:00Z</dcterms:created>
  <dc:creator>user</dc:creator>
  <cp:lastModifiedBy>user</cp:lastModifiedBy>
  <cp:lastPrinted>2026-04-20T03:38:03Z</cp:lastPrinted>
  <dcterms:modified xsi:type="dcterms:W3CDTF">2026-04-20T04:23:43Z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