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Arial"/>
          <w:b/>
          <w:sz w:val="72"/>
        </w:rPr>
      </w:pPr>
    </w:p>
    <w:p>
      <w:pPr>
        <w:jc w:val="center"/>
        <w:outlineLvl w:val="0"/>
        <w:rPr>
          <w:rFonts w:hint="eastAsia" w:ascii="宋体" w:hAnsi="宋体" w:cs="Arial"/>
          <w:color w:val="auto"/>
          <w:spacing w:val="80"/>
          <w:sz w:val="52"/>
          <w:szCs w:val="52"/>
        </w:rPr>
      </w:pPr>
      <w:r>
        <w:rPr>
          <w:rFonts w:hint="eastAsia" w:ascii="宋体" w:hAnsi="宋体" w:cs="Arial"/>
          <w:color w:val="auto"/>
          <w:spacing w:val="80"/>
          <w:sz w:val="52"/>
          <w:szCs w:val="52"/>
          <w:lang w:eastAsia="zh-CN"/>
        </w:rPr>
        <w:t>三峡文物科技保护基地公共服务提升项目概念实施方案编制</w:t>
      </w:r>
      <w:r>
        <w:rPr>
          <w:rFonts w:hint="eastAsia" w:ascii="宋体" w:hAnsi="宋体" w:cs="Arial"/>
          <w:color w:val="auto"/>
          <w:spacing w:val="80"/>
          <w:sz w:val="52"/>
          <w:szCs w:val="52"/>
        </w:rPr>
        <w:t>询</w:t>
      </w:r>
      <w:r>
        <w:rPr>
          <w:rFonts w:hint="eastAsia" w:ascii="宋体" w:hAnsi="宋体" w:cs="Arial"/>
          <w:color w:val="auto"/>
          <w:spacing w:val="80"/>
          <w:sz w:val="52"/>
          <w:szCs w:val="52"/>
          <w:lang w:eastAsia="zh-CN"/>
        </w:rPr>
        <w:t>比</w:t>
      </w:r>
      <w:r>
        <w:rPr>
          <w:rFonts w:hint="eastAsia" w:ascii="宋体" w:hAnsi="宋体" w:cs="Arial"/>
          <w:color w:val="auto"/>
          <w:spacing w:val="80"/>
          <w:sz w:val="52"/>
          <w:szCs w:val="52"/>
        </w:rPr>
        <w:t>文件</w:t>
      </w:r>
    </w:p>
    <w:p>
      <w:pPr>
        <w:spacing w:line="700" w:lineRule="exact"/>
        <w:jc w:val="center"/>
        <w:rPr>
          <w:rFonts w:hint="eastAsia" w:ascii="宋体" w:hAnsi="宋体" w:cs="Arial"/>
          <w:color w:val="auto"/>
          <w:sz w:val="52"/>
          <w:szCs w:val="52"/>
        </w:rPr>
      </w:pPr>
    </w:p>
    <w:p>
      <w:pPr>
        <w:tabs>
          <w:tab w:val="left" w:pos="2761"/>
          <w:tab w:val="left" w:pos="7352"/>
        </w:tabs>
        <w:spacing w:line="700" w:lineRule="exact"/>
        <w:jc w:val="left"/>
        <w:rPr>
          <w:rFonts w:hint="eastAsia" w:ascii="宋体" w:hAnsi="宋体" w:cs="Arial" w:eastAsiaTheme="minorEastAsia"/>
          <w:color w:val="auto"/>
          <w:sz w:val="32"/>
          <w:lang w:eastAsia="zh-CN"/>
        </w:rPr>
      </w:pPr>
      <w:r>
        <w:rPr>
          <w:rFonts w:hint="eastAsia" w:ascii="宋体" w:hAnsi="宋体" w:cs="Arial"/>
          <w:color w:val="auto"/>
          <w:sz w:val="32"/>
          <w:lang w:eastAsia="zh-CN"/>
        </w:rPr>
        <w:tab/>
      </w:r>
      <w:r>
        <w:rPr>
          <w:rFonts w:hint="eastAsia" w:ascii="宋体" w:hAnsi="宋体" w:cs="Arial"/>
          <w:color w:val="auto"/>
          <w:sz w:val="32"/>
          <w:lang w:eastAsia="zh-CN"/>
        </w:rPr>
        <w:tab/>
      </w:r>
    </w:p>
    <w:p>
      <w:pPr>
        <w:spacing w:line="700" w:lineRule="exact"/>
        <w:jc w:val="center"/>
        <w:rPr>
          <w:rFonts w:hint="eastAsia" w:ascii="宋体" w:hAnsi="宋体" w:cs="Arial"/>
          <w:color w:val="auto"/>
          <w:sz w:val="32"/>
        </w:rPr>
      </w:pPr>
    </w:p>
    <w:p>
      <w:pPr>
        <w:spacing w:line="700" w:lineRule="exact"/>
        <w:jc w:val="center"/>
        <w:rPr>
          <w:rFonts w:hint="eastAsia" w:ascii="宋体" w:hAnsi="宋体" w:cs="Arial"/>
          <w:color w:val="auto"/>
          <w:sz w:val="32"/>
        </w:rPr>
      </w:pPr>
    </w:p>
    <w:p>
      <w:pPr>
        <w:spacing w:line="700" w:lineRule="exact"/>
        <w:ind w:firstLine="1916" w:firstLineChars="599"/>
        <w:rPr>
          <w:rFonts w:hint="eastAsia" w:ascii="宋体" w:hAnsi="宋体" w:cs="Arial"/>
          <w:color w:val="auto"/>
          <w:sz w:val="32"/>
        </w:rPr>
      </w:pPr>
      <w:r>
        <w:rPr>
          <w:rFonts w:hint="eastAsia" w:ascii="宋体" w:hAnsi="宋体" w:cs="Arial"/>
          <w:color w:val="auto"/>
          <w:sz w:val="32"/>
        </w:rPr>
        <w:t>项目编号：内26020</w:t>
      </w:r>
    </w:p>
    <w:p>
      <w:pPr>
        <w:spacing w:line="700" w:lineRule="exact"/>
        <w:ind w:left="3676" w:leftChars="684" w:hanging="2240" w:hangingChars="700"/>
        <w:rPr>
          <w:rFonts w:hint="eastAsia" w:ascii="宋体" w:hAnsi="宋体" w:cs="Arial"/>
          <w:color w:val="auto"/>
          <w:sz w:val="32"/>
        </w:rPr>
      </w:pPr>
      <w:r>
        <w:rPr>
          <w:rFonts w:hint="eastAsia" w:ascii="宋体" w:hAnsi="宋体" w:cs="Arial"/>
          <w:color w:val="auto"/>
          <w:sz w:val="32"/>
        </w:rPr>
        <w:t xml:space="preserve">   项目名称：</w:t>
      </w:r>
      <w:r>
        <w:rPr>
          <w:rFonts w:hint="eastAsia" w:ascii="宋体" w:hAnsi="宋体" w:cs="Arial"/>
          <w:color w:val="auto"/>
          <w:sz w:val="32"/>
          <w:lang w:eastAsia="zh-CN"/>
        </w:rPr>
        <w:t>三峡文物科技保护基地公共服务提升项目概念实施方案编制</w:t>
      </w:r>
      <w:r>
        <w:rPr>
          <w:rFonts w:hint="eastAsia" w:ascii="宋体" w:hAnsi="宋体" w:cs="Arial"/>
          <w:color w:val="auto"/>
          <w:sz w:val="32"/>
        </w:rPr>
        <w:t xml:space="preserve">   </w:t>
      </w:r>
    </w:p>
    <w:p>
      <w:pPr>
        <w:spacing w:line="700" w:lineRule="exact"/>
        <w:ind w:left="2716" w:leftChars="684" w:hanging="1280" w:hangingChars="400"/>
        <w:rPr>
          <w:rFonts w:hint="eastAsia" w:ascii="宋体" w:hAnsi="宋体" w:cs="Arial"/>
          <w:color w:val="auto"/>
          <w:sz w:val="32"/>
        </w:rPr>
      </w:pPr>
      <w:r>
        <w:rPr>
          <w:rFonts w:hint="eastAsia" w:ascii="宋体" w:hAnsi="宋体" w:cs="Arial"/>
          <w:color w:val="auto"/>
          <w:sz w:val="32"/>
          <w:lang w:val="en-US" w:eastAsia="zh-CN"/>
        </w:rPr>
        <w:t xml:space="preserve">   </w:t>
      </w:r>
      <w:r>
        <w:rPr>
          <w:rFonts w:hint="eastAsia" w:ascii="宋体" w:hAnsi="宋体" w:cs="Arial"/>
          <w:color w:val="auto"/>
          <w:sz w:val="32"/>
        </w:rPr>
        <w:t>采购</w:t>
      </w:r>
      <w:r>
        <w:rPr>
          <w:rFonts w:hint="eastAsia" w:ascii="宋体" w:hAnsi="宋体" w:cs="Arial"/>
          <w:color w:val="auto"/>
          <w:sz w:val="32"/>
          <w:lang w:eastAsia="zh-CN"/>
        </w:rPr>
        <w:t>单位</w:t>
      </w:r>
      <w:r>
        <w:rPr>
          <w:rFonts w:hint="eastAsia" w:ascii="宋体" w:hAnsi="宋体" w:cs="Arial"/>
          <w:color w:val="auto"/>
          <w:sz w:val="32"/>
        </w:rPr>
        <w:t>：重庆中国三峡博物馆</w:t>
      </w:r>
    </w:p>
    <w:p>
      <w:pPr>
        <w:spacing w:line="700" w:lineRule="exact"/>
        <w:jc w:val="center"/>
        <w:rPr>
          <w:rFonts w:hint="eastAsia" w:ascii="宋体" w:hAnsi="宋体" w:cs="Arial"/>
          <w:color w:val="auto"/>
          <w:sz w:val="32"/>
        </w:rPr>
      </w:pPr>
    </w:p>
    <w:p>
      <w:pPr>
        <w:spacing w:line="700" w:lineRule="exact"/>
        <w:jc w:val="both"/>
        <w:rPr>
          <w:rFonts w:hint="eastAsia" w:ascii="宋体" w:hAnsi="宋体" w:cs="Arial"/>
          <w:color w:val="auto"/>
          <w:sz w:val="32"/>
        </w:rPr>
      </w:pPr>
    </w:p>
    <w:p>
      <w:pPr>
        <w:spacing w:line="700" w:lineRule="exact"/>
        <w:jc w:val="center"/>
        <w:rPr>
          <w:rFonts w:hint="eastAsia" w:ascii="宋体" w:hAnsi="宋体" w:cs="Arial"/>
          <w:color w:val="auto"/>
          <w:sz w:val="32"/>
        </w:rPr>
      </w:pPr>
    </w:p>
    <w:p>
      <w:pPr>
        <w:spacing w:line="700" w:lineRule="exact"/>
        <w:jc w:val="both"/>
        <w:rPr>
          <w:rFonts w:hint="eastAsia" w:ascii="宋体" w:hAnsi="宋体" w:cs="Arial"/>
          <w:color w:val="auto"/>
          <w:sz w:val="32"/>
        </w:rPr>
      </w:pPr>
    </w:p>
    <w:p>
      <w:pPr>
        <w:spacing w:line="700" w:lineRule="exact"/>
        <w:jc w:val="both"/>
        <w:rPr>
          <w:rFonts w:hint="eastAsia" w:ascii="宋体" w:hAnsi="宋体" w:cs="Arial"/>
          <w:color w:val="auto"/>
          <w:sz w:val="32"/>
        </w:rPr>
      </w:pPr>
    </w:p>
    <w:p>
      <w:pPr>
        <w:spacing w:line="700" w:lineRule="exact"/>
        <w:jc w:val="center"/>
        <w:rPr>
          <w:rFonts w:hint="eastAsia" w:ascii="宋体" w:hAnsi="宋体" w:cs="Arial"/>
          <w:color w:val="auto"/>
          <w:sz w:val="32"/>
        </w:rPr>
      </w:pPr>
      <w:r>
        <w:rPr>
          <w:rFonts w:hint="eastAsia" w:ascii="宋体" w:hAnsi="宋体" w:cs="Arial"/>
          <w:color w:val="auto"/>
          <w:sz w:val="32"/>
        </w:rPr>
        <w:t>重庆中国三峡博物馆制</w:t>
      </w:r>
    </w:p>
    <w:p>
      <w:pPr>
        <w:spacing w:line="700" w:lineRule="exact"/>
        <w:jc w:val="center"/>
        <w:outlineLvl w:val="0"/>
        <w:rPr>
          <w:rFonts w:hint="eastAsia" w:ascii="宋体" w:hAnsi="宋体" w:eastAsia="宋体" w:cs="Arial"/>
          <w:color w:val="auto"/>
          <w:sz w:val="36"/>
        </w:rPr>
      </w:pPr>
      <w:r>
        <w:rPr>
          <w:rFonts w:hint="eastAsia" w:ascii="宋体" w:hAnsi="宋体" w:cs="Arial"/>
          <w:color w:val="auto"/>
          <w:sz w:val="32"/>
          <w:lang w:val="en-US" w:eastAsia="zh-CN"/>
        </w:rPr>
        <w:t xml:space="preserve"> 2026</w:t>
      </w:r>
      <w:r>
        <w:rPr>
          <w:rFonts w:hint="eastAsia" w:ascii="宋体" w:hAnsi="宋体" w:cs="Arial"/>
          <w:color w:val="auto"/>
          <w:sz w:val="32"/>
        </w:rPr>
        <w:t>年</w:t>
      </w:r>
      <w:r>
        <w:rPr>
          <w:rFonts w:hint="eastAsia" w:ascii="宋体" w:hAnsi="宋体" w:cs="Arial"/>
          <w:color w:val="auto"/>
          <w:sz w:val="32"/>
          <w:lang w:val="en-US" w:eastAsia="zh-CN"/>
        </w:rPr>
        <w:t>3</w:t>
      </w:r>
      <w:r>
        <w:rPr>
          <w:rFonts w:hint="eastAsia" w:ascii="宋体" w:hAnsi="宋体" w:cs="Arial"/>
          <w:color w:val="auto"/>
          <w:sz w:val="32"/>
        </w:rPr>
        <w:t>月</w:t>
      </w:r>
      <w:bookmarkStart w:id="0" w:name="_Toc11641050"/>
      <w:bookmarkStart w:id="1" w:name="_Toc372538149"/>
      <w:bookmarkStart w:id="2" w:name="_Toc25725118"/>
    </w:p>
    <w:p>
      <w:pPr>
        <w:spacing w:line="700" w:lineRule="exact"/>
        <w:jc w:val="center"/>
        <w:outlineLvl w:val="0"/>
        <w:rPr>
          <w:rStyle w:val="11"/>
          <w:rFonts w:hint="eastAsia" w:ascii="Arial" w:hAnsi="Arial" w:eastAsia="黑体" w:cstheme="minorBidi"/>
          <w:b/>
          <w:kern w:val="2"/>
          <w:sz w:val="32"/>
          <w:szCs w:val="22"/>
          <w:lang w:val="en-US" w:eastAsia="zh-CN" w:bidi="ar-SA"/>
        </w:rPr>
      </w:pPr>
      <w:r>
        <w:rPr>
          <w:rStyle w:val="11"/>
          <w:rFonts w:hint="eastAsia" w:ascii="Arial" w:hAnsi="Arial" w:eastAsia="黑体" w:cstheme="minorBidi"/>
          <w:b/>
          <w:kern w:val="2"/>
          <w:sz w:val="32"/>
          <w:szCs w:val="22"/>
          <w:lang w:val="en-US" w:eastAsia="zh-CN" w:bidi="ar-SA"/>
        </w:rPr>
        <w:t xml:space="preserve">第一篇  </w:t>
      </w:r>
      <w:bookmarkEnd w:id="0"/>
      <w:r>
        <w:rPr>
          <w:rStyle w:val="11"/>
          <w:rFonts w:hint="eastAsia" w:ascii="Arial" w:hAnsi="Arial" w:eastAsia="黑体" w:cstheme="minorBidi"/>
          <w:b/>
          <w:kern w:val="2"/>
          <w:sz w:val="32"/>
          <w:szCs w:val="22"/>
          <w:lang w:val="en-US" w:eastAsia="zh-CN" w:bidi="ar-SA"/>
        </w:rPr>
        <w:t>邀请书</w:t>
      </w:r>
      <w:bookmarkEnd w:id="1"/>
      <w:bookmarkEnd w:id="2"/>
    </w:p>
    <w:p>
      <w:pPr>
        <w:spacing w:line="312" w:lineRule="auto"/>
        <w:ind w:firstLine="480" w:firstLineChars="200"/>
        <w:rPr>
          <w:rFonts w:hint="eastAsia" w:ascii="宋体" w:hAnsi="宋体" w:cs="Arial"/>
          <w:sz w:val="24"/>
          <w:szCs w:val="24"/>
        </w:rPr>
      </w:pPr>
    </w:p>
    <w:p>
      <w:pPr>
        <w:spacing w:line="312" w:lineRule="auto"/>
        <w:ind w:firstLine="480" w:firstLineChars="200"/>
        <w:rPr>
          <w:rFonts w:hint="eastAsia" w:ascii="宋体" w:hAnsi="宋体" w:cs="Arial"/>
          <w:sz w:val="24"/>
          <w:szCs w:val="24"/>
        </w:rPr>
      </w:pP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我单位现就</w:t>
      </w:r>
      <w:r>
        <w:rPr>
          <w:rFonts w:hint="eastAsia" w:asciiTheme="minorEastAsia" w:hAnsiTheme="minorEastAsia" w:cstheme="minorEastAsia"/>
          <w:color w:val="auto"/>
          <w:sz w:val="24"/>
          <w:szCs w:val="24"/>
          <w:u w:val="single"/>
          <w:lang w:eastAsia="zh-CN"/>
        </w:rPr>
        <w:t>三峡文物科技保护基地公共服务提升项目概念实施方案编制</w:t>
      </w:r>
      <w:r>
        <w:rPr>
          <w:rFonts w:hint="eastAsia" w:asciiTheme="minorEastAsia" w:hAnsiTheme="minorEastAsia" w:eastAsiaTheme="minorEastAsia" w:cstheme="minorEastAsia"/>
          <w:color w:val="auto"/>
          <w:sz w:val="24"/>
          <w:szCs w:val="24"/>
        </w:rPr>
        <w:t>项目进行询</w:t>
      </w:r>
      <w:r>
        <w:rPr>
          <w:rFonts w:hint="eastAsia" w:asciiTheme="minorEastAsia" w:hAnsiTheme="minorEastAsia" w:eastAsiaTheme="minorEastAsia" w:cstheme="minorEastAsia"/>
          <w:color w:val="auto"/>
          <w:sz w:val="24"/>
          <w:szCs w:val="24"/>
          <w:lang w:eastAsia="zh-CN"/>
        </w:rPr>
        <w:t>比</w:t>
      </w:r>
      <w:r>
        <w:rPr>
          <w:rFonts w:hint="eastAsia" w:asciiTheme="minorEastAsia" w:hAnsiTheme="minorEastAsia" w:eastAsiaTheme="minorEastAsia" w:cstheme="minorEastAsia"/>
          <w:color w:val="auto"/>
          <w:sz w:val="24"/>
          <w:szCs w:val="24"/>
        </w:rPr>
        <w:t>采购，凡有意参加询比的供应商，请于公告发布之日起至报名截止时间之前，在</w:t>
      </w:r>
      <w:r>
        <w:rPr>
          <w:rFonts w:hint="eastAsia" w:asciiTheme="minorEastAsia" w:hAnsiTheme="minorEastAsia" w:cstheme="minorEastAsia"/>
          <w:color w:val="auto"/>
          <w:sz w:val="24"/>
          <w:szCs w:val="24"/>
          <w:lang w:val="en-US" w:eastAsia="zh-CN"/>
        </w:rPr>
        <w:t>重庆中国三峡博物馆官网</w:t>
      </w:r>
      <w:r>
        <w:rPr>
          <w:rFonts w:hint="eastAsia" w:asciiTheme="minorEastAsia" w:hAnsiTheme="minorEastAsia" w:eastAsiaTheme="minorEastAsia" w:cstheme="minorEastAsia"/>
          <w:color w:val="auto"/>
          <w:sz w:val="24"/>
          <w:szCs w:val="24"/>
        </w:rPr>
        <w:t>上下载查看本项目需求文件以及变更公告等询比前公布的所有项目资料，无论供应商下载查看与否，均视为已知晓所有询比实质性要求内容。</w:t>
      </w:r>
    </w:p>
    <w:p>
      <w:pPr>
        <w:keepNext w:val="0"/>
        <w:keepLines w:val="0"/>
        <w:pageBreakBefore w:val="0"/>
        <w:widowControl w:val="0"/>
        <w:numPr>
          <w:ilvl w:val="0"/>
          <w:numId w:val="1"/>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本项目编号：内26020</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联系办法：</w:t>
      </w:r>
    </w:p>
    <w:p>
      <w:pPr>
        <w:keepNext w:val="0"/>
        <w:keepLines w:val="0"/>
        <w:pageBreakBefore w:val="0"/>
        <w:widowControl w:val="0"/>
        <w:kinsoku/>
        <w:wordWrap/>
        <w:overflowPunct/>
        <w:topLinePunct w:val="0"/>
        <w:autoSpaceDE/>
        <w:autoSpaceDN/>
        <w:bidi w:val="0"/>
        <w:adjustRightInd/>
        <w:snapToGrid w:val="0"/>
        <w:spacing w:line="460" w:lineRule="exact"/>
        <w:ind w:left="567"/>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采购联系人：李先生，电话，（023）63679109 ，13452915399；</w:t>
      </w:r>
    </w:p>
    <w:p>
      <w:pPr>
        <w:keepNext w:val="0"/>
        <w:keepLines w:val="0"/>
        <w:pageBreakBefore w:val="0"/>
        <w:widowControl w:val="0"/>
        <w:kinsoku/>
        <w:wordWrap/>
        <w:overflowPunct/>
        <w:topLinePunct w:val="0"/>
        <w:autoSpaceDE/>
        <w:autoSpaceDN/>
        <w:bidi w:val="0"/>
        <w:adjustRightInd/>
        <w:snapToGrid w:val="0"/>
        <w:spacing w:line="460" w:lineRule="exact"/>
        <w:ind w:left="567"/>
        <w:textAlignment w:val="auto"/>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   项目联系人：</w:t>
      </w:r>
      <w:r>
        <w:rPr>
          <w:rFonts w:hint="eastAsia" w:ascii="宋体" w:hAnsi="宋体" w:cs="Arial"/>
          <w:color w:val="auto"/>
          <w:sz w:val="24"/>
          <w:szCs w:val="24"/>
          <w:highlight w:val="none"/>
          <w:lang w:val="en-US" w:eastAsia="zh-CN"/>
        </w:rPr>
        <w:t>杨老师，电话：63679017</w:t>
      </w:r>
      <w:r>
        <w:rPr>
          <w:rFonts w:hint="eastAsia" w:asciiTheme="minorEastAsia" w:hAnsiTheme="minorEastAsia" w:cstheme="minorEastAsia"/>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left="567" w:leftChars="0"/>
        <w:textAlignment w:val="auto"/>
        <w:rPr>
          <w:rFonts w:hint="eastAsia" w:asciiTheme="minorEastAsia" w:hAnsiTheme="minorEastAsia" w:eastAsiaTheme="minorEastAsia" w:cstheme="minorEastAsia"/>
          <w:color w:val="auto"/>
          <w:sz w:val="24"/>
          <w:szCs w:val="24"/>
        </w:rPr>
      </w:pPr>
    </w:p>
    <w:p>
      <w:pPr>
        <w:numPr>
          <w:ilvl w:val="0"/>
          <w:numId w:val="0"/>
        </w:numPr>
        <w:snapToGrid w:val="0"/>
        <w:spacing w:line="560" w:lineRule="atLeast"/>
        <w:ind w:left="567" w:leftChars="0"/>
        <w:rPr>
          <w:rFonts w:hint="eastAsia" w:ascii="宋体" w:hAnsi="宋体" w:cs="Arial"/>
          <w:color w:val="auto"/>
          <w:sz w:val="24"/>
          <w:szCs w:val="24"/>
          <w:lang w:eastAsia="zh-CN"/>
        </w:rPr>
      </w:pPr>
    </w:p>
    <w:p>
      <w:pPr>
        <w:snapToGrid w:val="0"/>
        <w:spacing w:line="560" w:lineRule="atLeast"/>
        <w:rPr>
          <w:rFonts w:hint="eastAsia" w:ascii="宋体" w:hAnsi="宋体" w:cs="Arial"/>
          <w:sz w:val="24"/>
          <w:szCs w:val="24"/>
        </w:rPr>
      </w:pPr>
      <w:r>
        <w:rPr>
          <w:rFonts w:hint="eastAsia" w:ascii="宋体" w:hAnsi="宋体" w:cs="Arial"/>
          <w:sz w:val="24"/>
          <w:szCs w:val="24"/>
        </w:rPr>
        <w:t xml:space="preserve">    </w:t>
      </w:r>
    </w:p>
    <w:p>
      <w:pPr>
        <w:pStyle w:val="3"/>
        <w:jc w:val="center"/>
        <w:rPr>
          <w:rFonts w:hint="eastAsia" w:ascii="宋体" w:hAnsi="宋体" w:eastAsia="宋体" w:cs="Arial"/>
          <w:sz w:val="36"/>
        </w:rPr>
      </w:pPr>
      <w:r>
        <w:rPr>
          <w:rFonts w:hint="eastAsia" w:ascii="宋体" w:hAnsi="宋体" w:eastAsia="宋体" w:cs="Arial"/>
          <w:b w:val="0"/>
          <w:sz w:val="28"/>
        </w:rPr>
        <w:br w:type="page"/>
      </w:r>
      <w:bookmarkStart w:id="3" w:name="_Toc372538150"/>
      <w:r>
        <w:rPr>
          <w:rStyle w:val="11"/>
          <w:rFonts w:hint="eastAsia" w:ascii="Arial" w:hAnsi="Arial" w:eastAsia="黑体" w:cstheme="minorBidi"/>
          <w:b/>
          <w:kern w:val="2"/>
          <w:sz w:val="32"/>
          <w:szCs w:val="22"/>
          <w:lang w:val="en-US" w:eastAsia="zh-CN" w:bidi="ar-SA"/>
        </w:rPr>
        <w:t>第二篇  投标须知</w:t>
      </w:r>
      <w:bookmarkEnd w:id="3"/>
    </w:p>
    <w:p>
      <w:pPr>
        <w:pStyle w:val="4"/>
        <w:pageBreakBefore w:val="0"/>
        <w:kinsoku/>
        <w:wordWrap/>
        <w:overflowPunct/>
        <w:topLinePunct w:val="0"/>
        <w:autoSpaceDE/>
        <w:autoSpaceDN/>
        <w:bidi w:val="0"/>
        <w:adjustRightInd/>
        <w:spacing w:line="460" w:lineRule="exact"/>
        <w:textAlignment w:val="auto"/>
        <w:rPr>
          <w:rStyle w:val="11"/>
          <w:rFonts w:hint="eastAsia"/>
        </w:rPr>
      </w:pPr>
      <w:bookmarkStart w:id="4" w:name="_Toc372538151"/>
      <w:r>
        <w:rPr>
          <w:rStyle w:val="11"/>
          <w:rFonts w:hint="eastAsia"/>
        </w:rPr>
        <w:t>一、询</w:t>
      </w:r>
      <w:r>
        <w:rPr>
          <w:rStyle w:val="11"/>
          <w:rFonts w:hint="eastAsia"/>
          <w:lang w:val="en-US" w:eastAsia="zh-CN"/>
        </w:rPr>
        <w:t>比</w:t>
      </w:r>
      <w:r>
        <w:rPr>
          <w:rStyle w:val="11"/>
          <w:rFonts w:hint="eastAsia"/>
        </w:rPr>
        <w:t>费用</w:t>
      </w:r>
      <w:bookmarkEnd w:id="4"/>
    </w:p>
    <w:p>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参与</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标的供应商应承担其编制</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标文件与递交</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标文件所涉及的一切费用，不论采购结果如何，采购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在任何情况下无义务也无责任承担这些费用。</w:t>
      </w:r>
    </w:p>
    <w:p>
      <w:pPr>
        <w:pStyle w:val="4"/>
        <w:pageBreakBefore w:val="0"/>
        <w:kinsoku/>
        <w:wordWrap/>
        <w:overflowPunct/>
        <w:topLinePunct w:val="0"/>
        <w:autoSpaceDE/>
        <w:autoSpaceDN/>
        <w:bidi w:val="0"/>
        <w:adjustRightInd/>
        <w:spacing w:line="460" w:lineRule="exact"/>
        <w:textAlignment w:val="auto"/>
        <w:rPr>
          <w:rStyle w:val="11"/>
          <w:rFonts w:hint="eastAsia"/>
        </w:rPr>
      </w:pPr>
      <w:bookmarkStart w:id="5" w:name="_Toc372538152"/>
      <w:r>
        <w:rPr>
          <w:rStyle w:val="11"/>
          <w:rFonts w:hint="eastAsia"/>
        </w:rPr>
        <w:t>二、</w:t>
      </w:r>
      <w:r>
        <w:rPr>
          <w:rStyle w:val="11"/>
          <w:rFonts w:hint="eastAsia"/>
          <w:lang w:eastAsia="zh-CN"/>
        </w:rPr>
        <w:t>投</w:t>
      </w:r>
      <w:r>
        <w:rPr>
          <w:rStyle w:val="11"/>
          <w:rFonts w:hint="eastAsia"/>
        </w:rPr>
        <w:t>标</w:t>
      </w:r>
      <w:r>
        <w:rPr>
          <w:rStyle w:val="11"/>
          <w:rFonts w:hint="eastAsia"/>
          <w:lang w:eastAsia="zh-CN"/>
        </w:rPr>
        <w:t>单位</w:t>
      </w:r>
      <w:r>
        <w:rPr>
          <w:rStyle w:val="11"/>
          <w:rFonts w:hint="eastAsia"/>
        </w:rPr>
        <w:t>资质</w:t>
      </w:r>
      <w:bookmarkEnd w:id="5"/>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参与</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标的供应商是指向采购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提供货物、工程或者服务的法人、其他组织或者自然人，简称供应商或</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w:t>
      </w:r>
    </w:p>
    <w:p>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合格的</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应符合下列资格条件：</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2、具有良好的商业信誉和健全的财务会计制度；</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3、具有履行合同所必须的设备和专业技术能力；</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4、有依法缴纳税收的良好记录；</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5、参加政府采购活动近三年内，在经营活动中没有重大违法记录；</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6、法律、行政法规规定的其他条件</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7、特定资格条件：工程咨询单位乙级及以上咨信证书（专业资信），提供证书复印件加盖供应商公章。</w:t>
      </w:r>
    </w:p>
    <w:p>
      <w:pPr>
        <w:pStyle w:val="4"/>
        <w:pageBreakBefore w:val="0"/>
        <w:kinsoku/>
        <w:wordWrap/>
        <w:overflowPunct/>
        <w:topLinePunct w:val="0"/>
        <w:autoSpaceDE/>
        <w:autoSpaceDN/>
        <w:bidi w:val="0"/>
        <w:adjustRightInd/>
        <w:spacing w:line="460" w:lineRule="exact"/>
        <w:textAlignment w:val="auto"/>
        <w:rPr>
          <w:rStyle w:val="11"/>
          <w:rFonts w:hint="eastAsia"/>
          <w:color w:val="auto"/>
          <w:lang w:eastAsia="zh-CN"/>
        </w:rPr>
      </w:pPr>
      <w:r>
        <w:rPr>
          <w:rStyle w:val="11"/>
          <w:rFonts w:hint="eastAsia"/>
          <w:color w:val="auto"/>
          <w:lang w:val="en-US" w:eastAsia="zh-CN"/>
        </w:rPr>
        <w:t>三、</w:t>
      </w:r>
      <w:r>
        <w:rPr>
          <w:rStyle w:val="11"/>
          <w:rFonts w:hint="eastAsia"/>
          <w:color w:val="auto"/>
          <w:lang w:eastAsia="zh-CN"/>
        </w:rPr>
        <w:t>现场踏勘</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自行踏勘</w:t>
      </w:r>
      <w:r>
        <w:rPr>
          <w:rFonts w:hint="eastAsia" w:asciiTheme="minorEastAsia" w:hAnsiTheme="minorEastAsia" w:eastAsiaTheme="minorEastAsia" w:cstheme="minorEastAsia"/>
          <w:color w:val="auto"/>
          <w:sz w:val="24"/>
          <w:szCs w:val="24"/>
          <w:lang w:val="en-US" w:eastAsia="zh-CN"/>
        </w:rPr>
        <w:t>。</w:t>
      </w:r>
    </w:p>
    <w:p>
      <w:pPr>
        <w:pStyle w:val="4"/>
        <w:pageBreakBefore w:val="0"/>
        <w:kinsoku/>
        <w:wordWrap/>
        <w:overflowPunct/>
        <w:topLinePunct w:val="0"/>
        <w:autoSpaceDE/>
        <w:autoSpaceDN/>
        <w:bidi w:val="0"/>
        <w:adjustRightInd/>
        <w:spacing w:line="460" w:lineRule="exact"/>
        <w:textAlignment w:val="auto"/>
        <w:rPr>
          <w:rStyle w:val="11"/>
          <w:rFonts w:hint="eastAsia"/>
          <w:color w:val="auto"/>
          <w:lang w:eastAsia="zh-CN"/>
        </w:rPr>
      </w:pPr>
      <w:bookmarkStart w:id="6" w:name="_Toc102227317"/>
      <w:bookmarkStart w:id="7" w:name="_Toc372538153"/>
      <w:bookmarkStart w:id="8" w:name="_Toc179714296"/>
      <w:bookmarkStart w:id="9" w:name="_Toc187655629"/>
      <w:r>
        <w:rPr>
          <w:rStyle w:val="11"/>
          <w:rFonts w:hint="eastAsia"/>
          <w:color w:val="auto"/>
          <w:lang w:eastAsia="zh-CN"/>
        </w:rPr>
        <w:t>四、询比采购文件</w:t>
      </w:r>
      <w:bookmarkEnd w:id="6"/>
      <w:bookmarkEnd w:id="7"/>
      <w:bookmarkEnd w:id="8"/>
      <w:bookmarkEnd w:id="9"/>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1、询</w:t>
      </w:r>
      <w:r>
        <w:rPr>
          <w:rFonts w:hint="eastAsia" w:asciiTheme="minorEastAsia" w:hAnsiTheme="minorEastAsia" w:eastAsiaTheme="minorEastAsia" w:cstheme="minorEastAsia"/>
          <w:color w:val="auto"/>
          <w:sz w:val="24"/>
          <w:szCs w:val="24"/>
          <w:lang w:eastAsia="zh-CN"/>
        </w:rPr>
        <w:t>比</w:t>
      </w:r>
      <w:r>
        <w:rPr>
          <w:rFonts w:hint="eastAsia" w:asciiTheme="minorEastAsia" w:hAnsiTheme="minorEastAsia" w:eastAsiaTheme="minorEastAsia" w:cstheme="minorEastAsia"/>
          <w:color w:val="auto"/>
          <w:sz w:val="24"/>
          <w:szCs w:val="24"/>
        </w:rPr>
        <w:t>文件由邀请书、</w:t>
      </w:r>
      <w:r>
        <w:rPr>
          <w:rFonts w:hint="eastAsia" w:asciiTheme="minorEastAsia" w:hAnsiTheme="minorEastAsia" w:eastAsiaTheme="minorEastAsia" w:cstheme="minorEastAsia"/>
          <w:color w:val="auto"/>
          <w:sz w:val="24"/>
          <w:szCs w:val="24"/>
          <w:lang w:eastAsia="zh-CN"/>
        </w:rPr>
        <w:t>投标</w:t>
      </w:r>
      <w:r>
        <w:rPr>
          <w:rFonts w:hint="eastAsia" w:asciiTheme="minorEastAsia" w:hAnsiTheme="minorEastAsia" w:eastAsiaTheme="minorEastAsia" w:cstheme="minorEastAsia"/>
          <w:color w:val="auto"/>
          <w:sz w:val="24"/>
          <w:szCs w:val="24"/>
        </w:rPr>
        <w:t>须知、采购项目技术要求、商务要求</w:t>
      </w:r>
      <w:r>
        <w:rPr>
          <w:rFonts w:hint="eastAsia" w:asciiTheme="minorEastAsia" w:hAnsiTheme="minorEastAsia" w:eastAsiaTheme="minorEastAsia" w:cstheme="minorEastAsia"/>
          <w:color w:val="auto"/>
          <w:sz w:val="24"/>
          <w:szCs w:val="24"/>
          <w:lang w:eastAsia="zh-CN"/>
        </w:rPr>
        <w:t>、合同关键条款</w:t>
      </w:r>
      <w:r>
        <w:rPr>
          <w:rFonts w:hint="eastAsia" w:asciiTheme="minorEastAsia" w:hAnsiTheme="minorEastAsia" w:eastAsiaTheme="minorEastAsia" w:cstheme="minorEastAsia"/>
          <w:color w:val="auto"/>
          <w:sz w:val="24"/>
          <w:szCs w:val="24"/>
        </w:rPr>
        <w:t>和供应商编制响应文件要求六部分组成。</w:t>
      </w:r>
    </w:p>
    <w:p>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采购单位</w:t>
      </w:r>
      <w:r>
        <w:rPr>
          <w:rFonts w:hint="eastAsia" w:asciiTheme="minorEastAsia" w:hAnsiTheme="minorEastAsia" w:eastAsiaTheme="minorEastAsia" w:cstheme="minorEastAsia"/>
          <w:color w:val="auto"/>
          <w:sz w:val="24"/>
          <w:szCs w:val="24"/>
        </w:rPr>
        <w:t>所作的一切有效的</w:t>
      </w:r>
      <w:r>
        <w:rPr>
          <w:rFonts w:hint="eastAsia" w:asciiTheme="minorEastAsia" w:hAnsiTheme="minorEastAsia" w:eastAsiaTheme="minorEastAsia" w:cstheme="minorEastAsia"/>
          <w:color w:val="auto"/>
          <w:sz w:val="24"/>
          <w:szCs w:val="24"/>
          <w:lang w:eastAsia="zh-CN"/>
        </w:rPr>
        <w:t>公告、</w:t>
      </w:r>
      <w:r>
        <w:rPr>
          <w:rFonts w:hint="eastAsia" w:asciiTheme="minorEastAsia" w:hAnsiTheme="minorEastAsia" w:eastAsiaTheme="minorEastAsia" w:cstheme="minorEastAsia"/>
          <w:color w:val="auto"/>
          <w:sz w:val="24"/>
          <w:szCs w:val="24"/>
        </w:rPr>
        <w:t>书面通知、修改及补充，都是询</w:t>
      </w:r>
      <w:r>
        <w:rPr>
          <w:rFonts w:hint="eastAsia" w:asciiTheme="minorEastAsia" w:hAnsiTheme="minorEastAsia" w:eastAsiaTheme="minorEastAsia" w:cstheme="minorEastAsia"/>
          <w:color w:val="auto"/>
          <w:sz w:val="24"/>
          <w:szCs w:val="24"/>
          <w:lang w:eastAsia="zh-CN"/>
        </w:rPr>
        <w:t>比</w:t>
      </w:r>
      <w:r>
        <w:rPr>
          <w:rFonts w:hint="eastAsia" w:asciiTheme="minorEastAsia" w:hAnsiTheme="minorEastAsia" w:eastAsiaTheme="minorEastAsia" w:cstheme="minorEastAsia"/>
          <w:color w:val="auto"/>
          <w:sz w:val="24"/>
          <w:szCs w:val="24"/>
        </w:rPr>
        <w:t>文件不可分割的部分。</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3、采购文件的解释</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投</w:t>
      </w:r>
      <w:r>
        <w:rPr>
          <w:rFonts w:hint="eastAsia" w:asciiTheme="minorEastAsia" w:hAnsiTheme="minorEastAsia" w:eastAsiaTheme="minorEastAsia" w:cstheme="minorEastAsia"/>
          <w:color w:val="auto"/>
          <w:sz w:val="24"/>
          <w:szCs w:val="24"/>
        </w:rPr>
        <w:t>标</w:t>
      </w:r>
      <w:r>
        <w:rPr>
          <w:rFonts w:hint="eastAsia" w:asciiTheme="minorEastAsia" w:hAnsiTheme="minorEastAsia" w:eastAsiaTheme="minorEastAsia" w:cstheme="minorEastAsia"/>
          <w:color w:val="auto"/>
          <w:sz w:val="24"/>
          <w:szCs w:val="24"/>
          <w:lang w:eastAsia="zh-CN"/>
        </w:rPr>
        <w:t>单位</w:t>
      </w:r>
      <w:r>
        <w:rPr>
          <w:rFonts w:hint="eastAsia" w:asciiTheme="minorEastAsia" w:hAnsiTheme="minorEastAsia" w:eastAsiaTheme="minorEastAsia" w:cstheme="minorEastAsia"/>
          <w:color w:val="auto"/>
          <w:sz w:val="24"/>
          <w:szCs w:val="24"/>
        </w:rPr>
        <w:t>如对询</w:t>
      </w:r>
      <w:r>
        <w:rPr>
          <w:rFonts w:hint="eastAsia" w:asciiTheme="minorEastAsia" w:hAnsiTheme="minorEastAsia" w:eastAsiaTheme="minorEastAsia" w:cstheme="minorEastAsia"/>
          <w:color w:val="auto"/>
          <w:sz w:val="24"/>
          <w:szCs w:val="24"/>
          <w:lang w:eastAsia="zh-CN"/>
        </w:rPr>
        <w:t>比</w:t>
      </w:r>
      <w:r>
        <w:rPr>
          <w:rFonts w:hint="eastAsia" w:asciiTheme="minorEastAsia" w:hAnsiTheme="minorEastAsia" w:eastAsiaTheme="minorEastAsia" w:cstheme="minorEastAsia"/>
          <w:color w:val="auto"/>
          <w:sz w:val="24"/>
          <w:szCs w:val="24"/>
        </w:rPr>
        <w:t>文件有疑问，必须以书面形式在</w:t>
      </w:r>
      <w:r>
        <w:rPr>
          <w:rFonts w:hint="eastAsia" w:asciiTheme="minorEastAsia" w:hAnsiTheme="minorEastAsia" w:eastAsiaTheme="minorEastAsia" w:cstheme="minorEastAsia"/>
          <w:color w:val="auto"/>
          <w:sz w:val="24"/>
          <w:szCs w:val="24"/>
          <w:lang w:eastAsia="zh-CN"/>
        </w:rPr>
        <w:t>递交投标文件</w:t>
      </w:r>
      <w:r>
        <w:rPr>
          <w:rFonts w:hint="eastAsia" w:asciiTheme="minorEastAsia" w:hAnsiTheme="minorEastAsia" w:eastAsiaTheme="minorEastAsia" w:cstheme="minorEastAsia"/>
          <w:color w:val="auto"/>
          <w:sz w:val="24"/>
          <w:szCs w:val="24"/>
        </w:rPr>
        <w:t>截止时间一个工作日前向采购</w:t>
      </w:r>
      <w:r>
        <w:rPr>
          <w:rFonts w:hint="eastAsia" w:asciiTheme="minorEastAsia" w:hAnsiTheme="minorEastAsia" w:eastAsiaTheme="minorEastAsia" w:cstheme="minorEastAsia"/>
          <w:color w:val="auto"/>
          <w:sz w:val="24"/>
          <w:szCs w:val="24"/>
          <w:lang w:eastAsia="zh-CN"/>
        </w:rPr>
        <w:t>单位</w:t>
      </w:r>
      <w:r>
        <w:rPr>
          <w:rFonts w:hint="eastAsia" w:asciiTheme="minorEastAsia" w:hAnsiTheme="minorEastAsia" w:eastAsiaTheme="minorEastAsia" w:cstheme="minorEastAsia"/>
          <w:color w:val="auto"/>
          <w:sz w:val="24"/>
          <w:szCs w:val="24"/>
        </w:rPr>
        <w:t>要求澄清，采购</w:t>
      </w:r>
      <w:r>
        <w:rPr>
          <w:rFonts w:hint="eastAsia" w:asciiTheme="minorEastAsia" w:hAnsiTheme="minorEastAsia" w:eastAsiaTheme="minorEastAsia" w:cstheme="minorEastAsia"/>
          <w:color w:val="auto"/>
          <w:sz w:val="24"/>
          <w:szCs w:val="24"/>
          <w:lang w:eastAsia="zh-CN"/>
        </w:rPr>
        <w:t>单位</w:t>
      </w:r>
      <w:r>
        <w:rPr>
          <w:rFonts w:hint="eastAsia" w:asciiTheme="minorEastAsia" w:hAnsiTheme="minorEastAsia" w:eastAsiaTheme="minorEastAsia" w:cstheme="minorEastAsia"/>
          <w:color w:val="auto"/>
          <w:sz w:val="24"/>
          <w:szCs w:val="24"/>
        </w:rPr>
        <w:t>可视具体情况做出处理或答复</w:t>
      </w:r>
      <w:r>
        <w:rPr>
          <w:rFonts w:hint="eastAsia" w:asciiTheme="minorEastAsia" w:hAnsiTheme="minorEastAsia" w:eastAsiaTheme="minorEastAsia" w:cstheme="minorEastAsia"/>
          <w:color w:val="auto"/>
          <w:sz w:val="24"/>
          <w:szCs w:val="24"/>
          <w:lang w:eastAsia="zh-CN"/>
        </w:rPr>
        <w:t>，处理或者答复发布在</w:t>
      </w:r>
      <w:r>
        <w:rPr>
          <w:rFonts w:hint="eastAsia" w:asciiTheme="minorEastAsia" w:hAnsiTheme="minorEastAsia" w:cstheme="minorEastAsia"/>
          <w:color w:val="auto"/>
          <w:sz w:val="24"/>
          <w:szCs w:val="24"/>
          <w:lang w:val="en-US" w:eastAsia="zh-CN"/>
        </w:rPr>
        <w:t>重庆中国三峡博物馆官网</w:t>
      </w:r>
      <w:r>
        <w:rPr>
          <w:rFonts w:hint="eastAsia" w:asciiTheme="minorEastAsia" w:hAnsiTheme="minorEastAsia" w:eastAsiaTheme="minorEastAsia" w:cstheme="minorEastAsia"/>
          <w:color w:val="auto"/>
          <w:sz w:val="24"/>
          <w:szCs w:val="24"/>
          <w:lang w:eastAsia="zh-CN"/>
        </w:rPr>
        <w:t>上。</w:t>
      </w:r>
      <w:r>
        <w:rPr>
          <w:rFonts w:hint="eastAsia" w:asciiTheme="minorEastAsia" w:hAnsiTheme="minorEastAsia" w:eastAsiaTheme="minorEastAsia" w:cstheme="minorEastAsia"/>
          <w:color w:val="auto"/>
          <w:sz w:val="24"/>
          <w:szCs w:val="24"/>
        </w:rPr>
        <w:t>如</w:t>
      </w:r>
      <w:r>
        <w:rPr>
          <w:rFonts w:hint="eastAsia" w:asciiTheme="minorEastAsia" w:hAnsiTheme="minorEastAsia" w:eastAsiaTheme="minorEastAsia" w:cstheme="minorEastAsia"/>
          <w:color w:val="auto"/>
          <w:sz w:val="24"/>
          <w:szCs w:val="24"/>
          <w:lang w:eastAsia="zh-CN"/>
        </w:rPr>
        <w:t>投</w:t>
      </w:r>
      <w:r>
        <w:rPr>
          <w:rFonts w:hint="eastAsia" w:asciiTheme="minorEastAsia" w:hAnsiTheme="minorEastAsia" w:eastAsiaTheme="minorEastAsia" w:cstheme="minorEastAsia"/>
          <w:color w:val="auto"/>
          <w:sz w:val="24"/>
          <w:szCs w:val="24"/>
        </w:rPr>
        <w:t>标</w:t>
      </w:r>
      <w:r>
        <w:rPr>
          <w:rFonts w:hint="eastAsia" w:asciiTheme="minorEastAsia" w:hAnsiTheme="minorEastAsia" w:eastAsiaTheme="minorEastAsia" w:cstheme="minorEastAsia"/>
          <w:color w:val="auto"/>
          <w:sz w:val="24"/>
          <w:szCs w:val="24"/>
          <w:lang w:eastAsia="zh-CN"/>
        </w:rPr>
        <w:t>单位</w:t>
      </w:r>
      <w:r>
        <w:rPr>
          <w:rFonts w:hint="eastAsia" w:asciiTheme="minorEastAsia" w:hAnsiTheme="minorEastAsia" w:eastAsiaTheme="minorEastAsia" w:cstheme="minorEastAsia"/>
          <w:color w:val="auto"/>
          <w:sz w:val="24"/>
          <w:szCs w:val="24"/>
        </w:rPr>
        <w:t>未提出疑问</w:t>
      </w:r>
      <w:r>
        <w:rPr>
          <w:rFonts w:hint="eastAsia" w:asciiTheme="minorEastAsia" w:hAnsiTheme="minorEastAsia" w:eastAsiaTheme="minorEastAsia" w:cstheme="minorEastAsia"/>
          <w:color w:val="auto"/>
          <w:sz w:val="24"/>
          <w:szCs w:val="24"/>
          <w:lang w:eastAsia="zh-CN"/>
        </w:rPr>
        <w:t>或者未按前述要求提出</w:t>
      </w:r>
      <w:r>
        <w:rPr>
          <w:rFonts w:hint="eastAsia" w:asciiTheme="minorEastAsia" w:hAnsiTheme="minorEastAsia" w:eastAsiaTheme="minorEastAsia" w:cstheme="minorEastAsia"/>
          <w:color w:val="auto"/>
          <w:sz w:val="24"/>
          <w:szCs w:val="24"/>
        </w:rPr>
        <w:t>，视为完全理解并同意本采购文件，即</w:t>
      </w:r>
      <w:r>
        <w:rPr>
          <w:rFonts w:hint="eastAsia" w:asciiTheme="minorEastAsia" w:hAnsiTheme="minorEastAsia" w:eastAsiaTheme="minorEastAsia" w:cstheme="minorEastAsia"/>
          <w:color w:val="auto"/>
          <w:sz w:val="24"/>
          <w:szCs w:val="24"/>
          <w:lang w:eastAsia="zh-CN"/>
        </w:rPr>
        <w:t>投</w:t>
      </w:r>
      <w:r>
        <w:rPr>
          <w:rFonts w:hint="eastAsia" w:asciiTheme="minorEastAsia" w:hAnsiTheme="minorEastAsia" w:eastAsiaTheme="minorEastAsia" w:cstheme="minorEastAsia"/>
          <w:color w:val="auto"/>
          <w:sz w:val="24"/>
          <w:szCs w:val="24"/>
        </w:rPr>
        <w:t>标</w:t>
      </w:r>
      <w:r>
        <w:rPr>
          <w:rFonts w:hint="eastAsia" w:asciiTheme="minorEastAsia" w:hAnsiTheme="minorEastAsia" w:eastAsiaTheme="minorEastAsia" w:cstheme="minorEastAsia"/>
          <w:color w:val="auto"/>
          <w:sz w:val="24"/>
          <w:szCs w:val="24"/>
          <w:lang w:eastAsia="zh-CN"/>
        </w:rPr>
        <w:t>单位</w:t>
      </w:r>
      <w:r>
        <w:rPr>
          <w:rFonts w:hint="eastAsia" w:asciiTheme="minorEastAsia" w:hAnsiTheme="minorEastAsia" w:eastAsiaTheme="minorEastAsia" w:cstheme="minorEastAsia"/>
          <w:color w:val="auto"/>
          <w:sz w:val="24"/>
          <w:szCs w:val="24"/>
        </w:rPr>
        <w:t>已详细阅读全部文件资料，完全理解</w:t>
      </w:r>
      <w:r>
        <w:rPr>
          <w:rFonts w:hint="eastAsia" w:asciiTheme="minorEastAsia" w:hAnsiTheme="minorEastAsia" w:eastAsiaTheme="minorEastAsia" w:cstheme="minorEastAsia"/>
          <w:color w:val="auto"/>
          <w:sz w:val="24"/>
          <w:szCs w:val="24"/>
          <w:lang w:eastAsia="zh-CN"/>
        </w:rPr>
        <w:t>本</w:t>
      </w:r>
      <w:r>
        <w:rPr>
          <w:rFonts w:hint="eastAsia" w:asciiTheme="minorEastAsia" w:hAnsiTheme="minorEastAsia" w:eastAsiaTheme="minorEastAsia" w:cstheme="minorEastAsia"/>
          <w:color w:val="auto"/>
          <w:sz w:val="24"/>
          <w:szCs w:val="24"/>
        </w:rPr>
        <w:t>询</w:t>
      </w:r>
      <w:r>
        <w:rPr>
          <w:rFonts w:hint="eastAsia" w:asciiTheme="minorEastAsia" w:hAnsiTheme="minorEastAsia" w:eastAsiaTheme="minorEastAsia" w:cstheme="minorEastAsia"/>
          <w:color w:val="auto"/>
          <w:sz w:val="24"/>
          <w:szCs w:val="24"/>
          <w:lang w:eastAsia="zh-CN"/>
        </w:rPr>
        <w:t>比</w:t>
      </w:r>
      <w:r>
        <w:rPr>
          <w:rFonts w:hint="eastAsia" w:asciiTheme="minorEastAsia" w:hAnsiTheme="minorEastAsia" w:eastAsiaTheme="minorEastAsia" w:cstheme="minorEastAsia"/>
          <w:color w:val="auto"/>
          <w:sz w:val="24"/>
          <w:szCs w:val="24"/>
        </w:rPr>
        <w:t>文件所有条款内容并同意放弃对这方面有不明白及误解的权利。</w:t>
      </w:r>
    </w:p>
    <w:p>
      <w:pPr>
        <w:pStyle w:val="4"/>
        <w:pageBreakBefore w:val="0"/>
        <w:kinsoku/>
        <w:wordWrap/>
        <w:overflowPunct/>
        <w:topLinePunct w:val="0"/>
        <w:autoSpaceDE/>
        <w:autoSpaceDN/>
        <w:bidi w:val="0"/>
        <w:adjustRightInd/>
        <w:spacing w:line="460" w:lineRule="exact"/>
        <w:textAlignment w:val="auto"/>
        <w:rPr>
          <w:rStyle w:val="11"/>
          <w:rFonts w:hint="eastAsia"/>
          <w:color w:val="auto"/>
          <w:lang w:eastAsia="zh-CN"/>
        </w:rPr>
      </w:pPr>
      <w:bookmarkStart w:id="10" w:name="_Toc372538154"/>
      <w:r>
        <w:rPr>
          <w:rStyle w:val="11"/>
          <w:rFonts w:hint="eastAsia"/>
          <w:color w:val="auto"/>
          <w:lang w:eastAsia="zh-CN"/>
        </w:rPr>
        <w:t>五、响应文件要求</w:t>
      </w:r>
      <w:bookmarkEnd w:id="10"/>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（一）响应文件由以下部分组成，包括：</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1、资格文件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(1)营业执照或者法人证书复印件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（2）特定资格条件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(3) 法定代表人身份证明书（格式，法定代表人参与投标）或者法定代表人授权委托书（格式，被授权人参与投标）</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（4）诚信声明书</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（5）业绩</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2、技术文件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（1）服务方案</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3、经济文件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（1）报价函</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（2）明细报价表</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4、其他文件（不作为必要要件）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auto"/>
          <w:sz w:val="24"/>
          <w:szCs w:val="24"/>
        </w:rPr>
        <w:t xml:space="preserve">    投标单位提供与评分有关的内容或者投标单位认为需要提供的其他文件</w:t>
      </w:r>
    </w:p>
    <w:p>
      <w:pPr>
        <w:pStyle w:val="4"/>
        <w:pageBreakBefore w:val="0"/>
        <w:numPr>
          <w:ilvl w:val="0"/>
          <w:numId w:val="2"/>
        </w:numPr>
        <w:tabs>
          <w:tab w:val="left" w:pos="777"/>
          <w:tab w:val="left" w:pos="852"/>
        </w:tabs>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以上响应文件由投标单位以</w:t>
      </w:r>
      <w:r>
        <w:rPr>
          <w:rFonts w:hint="eastAsia" w:asciiTheme="minorEastAsia" w:hAnsiTheme="minorEastAsia" w:eastAsiaTheme="minorEastAsia" w:cstheme="minorEastAsia"/>
          <w:color w:val="FF0000"/>
          <w:sz w:val="24"/>
          <w:szCs w:val="24"/>
        </w:rPr>
        <w:t>PDF格式</w:t>
      </w:r>
      <w:r>
        <w:rPr>
          <w:rFonts w:hint="eastAsia" w:asciiTheme="minorEastAsia" w:hAnsiTheme="minorEastAsia" w:eastAsiaTheme="minorEastAsia" w:cstheme="minorEastAsia"/>
          <w:sz w:val="24"/>
          <w:szCs w:val="24"/>
        </w:rPr>
        <w:t>上传。</w:t>
      </w:r>
    </w:p>
    <w:p>
      <w:pPr>
        <w:pStyle w:val="4"/>
        <w:pageBreakBefore w:val="0"/>
        <w:kinsoku/>
        <w:wordWrap/>
        <w:overflowPunct/>
        <w:topLinePunct w:val="0"/>
        <w:autoSpaceDE/>
        <w:autoSpaceDN/>
        <w:bidi w:val="0"/>
        <w:adjustRightInd/>
        <w:spacing w:line="460" w:lineRule="exact"/>
        <w:textAlignment w:val="auto"/>
        <w:rPr>
          <w:rStyle w:val="11"/>
          <w:rFonts w:hint="eastAsia"/>
          <w:lang w:eastAsia="zh-CN"/>
        </w:rPr>
      </w:pPr>
      <w:r>
        <w:rPr>
          <w:rStyle w:val="11"/>
          <w:rFonts w:hint="eastAsia"/>
          <w:lang w:eastAsia="zh-CN"/>
        </w:rPr>
        <w:t>六、响应文件的真实性</w:t>
      </w:r>
    </w:p>
    <w:p>
      <w:pPr>
        <w:pStyle w:val="9"/>
        <w:pageBreakBefore w:val="0"/>
        <w:shd w:val="clear" w:color="auto" w:fill="FFFFFF"/>
        <w:kinsoku/>
        <w:wordWrap/>
        <w:overflowPunct/>
        <w:topLinePunct w:val="0"/>
        <w:autoSpaceDE/>
        <w:autoSpaceDN/>
        <w:bidi w:val="0"/>
        <w:adjustRightInd/>
        <w:spacing w:before="0" w:beforeAutospacing="0" w:after="0" w:afterAutospacing="0" w:line="460" w:lineRule="exact"/>
        <w:ind w:right="30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投标单位提供的投标材料要求真实可靠，采购单位可对投标材料真实性进行核查，如有虚假，采购单位取消中标单位中标资格或者与中标单位解除合同。中标单位赔偿由此造成采购单位的损失。</w:t>
      </w:r>
      <w:bookmarkStart w:id="11" w:name="_Toc372538155"/>
    </w:p>
    <w:p>
      <w:pPr>
        <w:pStyle w:val="4"/>
        <w:pageBreakBefore w:val="0"/>
        <w:kinsoku/>
        <w:wordWrap/>
        <w:overflowPunct/>
        <w:topLinePunct w:val="0"/>
        <w:autoSpaceDE/>
        <w:autoSpaceDN/>
        <w:bidi w:val="0"/>
        <w:adjustRightInd/>
        <w:spacing w:line="460" w:lineRule="exact"/>
        <w:textAlignment w:val="auto"/>
        <w:rPr>
          <w:rStyle w:val="11"/>
          <w:rFonts w:hint="eastAsia"/>
          <w:lang w:val="en-US" w:eastAsia="zh-CN"/>
        </w:rPr>
      </w:pPr>
      <w:r>
        <w:rPr>
          <w:rStyle w:val="11"/>
          <w:rFonts w:hint="eastAsia"/>
          <w:lang w:val="en-US" w:eastAsia="zh-CN"/>
        </w:rPr>
        <w:t>七、投标报价</w:t>
      </w:r>
      <w:bookmarkEnd w:id="11"/>
    </w:p>
    <w:p>
      <w:pPr>
        <w:pageBreakBefore w:val="0"/>
        <w:numPr>
          <w:ilvl w:val="0"/>
          <w:numId w:val="3"/>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最高限价：</w:t>
      </w:r>
    </w:p>
    <w:p>
      <w:pPr>
        <w:pageBreakBefore w:val="0"/>
        <w:numPr>
          <w:ilvl w:val="0"/>
          <w:numId w:val="0"/>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本项目最高限价（采购预算）：人民</w:t>
      </w:r>
      <w:r>
        <w:rPr>
          <w:rFonts w:hint="eastAsia" w:asciiTheme="minorEastAsia" w:hAnsiTheme="minorEastAsia" w:eastAsiaTheme="minorEastAsia" w:cstheme="minorEastAsia"/>
          <w:color w:val="auto"/>
          <w:sz w:val="24"/>
          <w:szCs w:val="24"/>
          <w:lang w:val="en-US" w:eastAsia="zh-CN"/>
        </w:rPr>
        <w:t>币</w:t>
      </w:r>
      <w:r>
        <w:rPr>
          <w:rFonts w:hint="eastAsia" w:asciiTheme="minorEastAsia" w:hAnsiTheme="minorEastAsia" w:cstheme="minorEastAsia"/>
          <w:color w:val="auto"/>
          <w:sz w:val="24"/>
          <w:szCs w:val="24"/>
          <w:u w:val="single"/>
          <w:lang w:val="en-US" w:eastAsia="zh-CN"/>
        </w:rPr>
        <w:t>15</w:t>
      </w:r>
      <w:r>
        <w:rPr>
          <w:rFonts w:hint="eastAsia" w:asciiTheme="minorEastAsia" w:hAnsiTheme="minorEastAsia" w:eastAsiaTheme="minorEastAsia" w:cstheme="minorEastAsia"/>
          <w:color w:val="auto"/>
          <w:sz w:val="24"/>
          <w:szCs w:val="24"/>
          <w:u w:val="single"/>
          <w:lang w:val="en-US" w:eastAsia="zh-CN"/>
        </w:rPr>
        <w:t>0000.00</w:t>
      </w:r>
      <w:r>
        <w:rPr>
          <w:rFonts w:hint="eastAsia" w:asciiTheme="minorEastAsia" w:hAnsiTheme="minorEastAsia" w:eastAsiaTheme="minorEastAsia" w:cstheme="minorEastAsia"/>
          <w:color w:val="auto"/>
          <w:sz w:val="24"/>
          <w:szCs w:val="24"/>
          <w:lang w:val="en-US" w:eastAsia="zh-CN"/>
        </w:rPr>
        <w:t>元。</w:t>
      </w:r>
    </w:p>
    <w:p>
      <w:pPr>
        <w:pageBreakBefore w:val="0"/>
        <w:numPr>
          <w:ilvl w:val="0"/>
          <w:numId w:val="3"/>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2" w:name="_Toc372538156"/>
      <w:r>
        <w:rPr>
          <w:rFonts w:hint="eastAsia" w:asciiTheme="minorEastAsia" w:hAnsiTheme="minorEastAsia" w:eastAsiaTheme="minorEastAsia" w:cstheme="minorEastAsia"/>
          <w:color w:val="000000" w:themeColor="text1"/>
          <w:sz w:val="24"/>
          <w:szCs w:val="24"/>
          <w14:textFill>
            <w14:solidFill>
              <w14:schemeClr w14:val="tx1"/>
            </w14:solidFill>
          </w14:textFill>
        </w:rPr>
        <w:t>报价要求</w:t>
      </w:r>
    </w:p>
    <w:p>
      <w:pPr>
        <w:pageBreakBefore w:val="0"/>
        <w:kinsoku/>
        <w:wordWrap/>
        <w:overflowPunct/>
        <w:topLinePunct w:val="0"/>
        <w:autoSpaceDE/>
        <w:autoSpaceDN/>
        <w:bidi w:val="0"/>
        <w:adjustRightInd/>
        <w:snapToGrid w:val="0"/>
        <w:spacing w:line="460" w:lineRule="exact"/>
        <w:ind w:firstLine="480"/>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报价应为投标单位在采购单位所在地完成本项目全部内容的完整报价，包括：设计工作的人工费、工本费、差旅费、材料费、税费等。因中标单位自身原因造成漏报、少报皆由其自行承担责任，采购人不再补偿。中标价为包干价，投标单位测算后确定投标报价。大小写应当一致，如不一致，以大写为准；若明细报价表中分项报价与总价不一致，以有利于采购单位为准。</w:t>
      </w:r>
    </w:p>
    <w:p>
      <w:pPr>
        <w:pStyle w:val="4"/>
        <w:pageBreakBefore w:val="0"/>
        <w:kinsoku/>
        <w:wordWrap/>
        <w:overflowPunct/>
        <w:topLinePunct w:val="0"/>
        <w:autoSpaceDE/>
        <w:autoSpaceDN/>
        <w:bidi w:val="0"/>
        <w:adjustRightInd/>
        <w:spacing w:line="460" w:lineRule="exact"/>
        <w:textAlignment w:val="auto"/>
        <w:rPr>
          <w:rStyle w:val="11"/>
          <w:rFonts w:hint="eastAsia"/>
          <w:lang w:val="en-US" w:eastAsia="zh-CN"/>
        </w:rPr>
      </w:pPr>
      <w:r>
        <w:rPr>
          <w:rStyle w:val="11"/>
          <w:rFonts w:hint="eastAsia"/>
          <w:lang w:val="en-US" w:eastAsia="zh-CN"/>
        </w:rPr>
        <w:t>八、评审办法</w:t>
      </w:r>
      <w:bookmarkEnd w:id="12"/>
    </w:p>
    <w:p>
      <w:pPr>
        <w:pageBreakBefore w:val="0"/>
        <w:numPr>
          <w:ilvl w:val="0"/>
          <w:numId w:val="4"/>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评审依据</w:t>
      </w:r>
    </w:p>
    <w:p>
      <w:pPr>
        <w:pageBreakBefore w:val="0"/>
        <w:numPr>
          <w:ilvl w:val="0"/>
          <w:numId w:val="0"/>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采购单位将以</w:t>
      </w:r>
      <w:r>
        <w:rPr>
          <w:rFonts w:hint="eastAsia" w:asciiTheme="minorEastAsia" w:hAnsiTheme="minorEastAsia" w:cstheme="minorEastAsia"/>
          <w:sz w:val="24"/>
          <w:szCs w:val="24"/>
          <w:lang w:val="en-US" w:eastAsia="zh-CN"/>
        </w:rPr>
        <w:t>上传的响应文件</w:t>
      </w:r>
      <w:r>
        <w:rPr>
          <w:rFonts w:hint="eastAsia" w:asciiTheme="minorEastAsia" w:hAnsiTheme="minorEastAsia" w:eastAsiaTheme="minorEastAsia" w:cstheme="minorEastAsia"/>
          <w:sz w:val="24"/>
          <w:szCs w:val="24"/>
          <w:lang w:val="en-US" w:eastAsia="zh-CN"/>
        </w:rPr>
        <w:t>作为评判依据。</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无效响应</w:t>
      </w:r>
    </w:p>
    <w:p>
      <w:pPr>
        <w:pageBreakBefore w:val="0"/>
        <w:kinsoku/>
        <w:wordWrap/>
        <w:overflowPunct/>
        <w:topLinePunct w:val="0"/>
        <w:autoSpaceDE/>
        <w:autoSpaceDN/>
        <w:bidi w:val="0"/>
        <w:adjustRightInd/>
        <w:snapToGrid w:val="0"/>
        <w:spacing w:line="46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有下列情况之一者，为无效</w:t>
      </w:r>
      <w:r>
        <w:rPr>
          <w:rFonts w:hint="eastAsia" w:asciiTheme="minorEastAsia" w:hAnsiTheme="minorEastAsia" w:eastAsiaTheme="minorEastAsia" w:cstheme="minorEastAsia"/>
          <w:b/>
          <w:bCs/>
          <w:sz w:val="24"/>
          <w:szCs w:val="24"/>
          <w:lang w:eastAsia="zh-CN"/>
        </w:rPr>
        <w:t>响应，为废标</w:t>
      </w:r>
      <w:r>
        <w:rPr>
          <w:rFonts w:hint="eastAsia" w:asciiTheme="minorEastAsia" w:hAnsiTheme="minorEastAsia" w:eastAsiaTheme="minorEastAsia" w:cstheme="minorEastAsia"/>
          <w:b/>
          <w:bCs/>
          <w:sz w:val="24"/>
          <w:szCs w:val="24"/>
        </w:rPr>
        <w:t>（请仔细阅读）：</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文件缺少</w:t>
      </w:r>
      <w:r>
        <w:rPr>
          <w:rFonts w:hint="eastAsia" w:asciiTheme="minorEastAsia" w:hAnsiTheme="minorEastAsia" w:eastAsiaTheme="minorEastAsia" w:cstheme="minorEastAsia"/>
          <w:sz w:val="24"/>
          <w:szCs w:val="24"/>
          <w:lang w:eastAsia="zh-CN"/>
        </w:rPr>
        <w:t>前述“五”中“</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lang w:eastAsia="zh-CN"/>
        </w:rPr>
        <w:t>”所列要件或者</w:t>
      </w:r>
      <w:r>
        <w:rPr>
          <w:rFonts w:hint="eastAsia" w:asciiTheme="minorEastAsia" w:hAnsiTheme="minorEastAsia" w:eastAsiaTheme="minorEastAsia" w:cstheme="minorEastAsia"/>
          <w:sz w:val="24"/>
          <w:szCs w:val="24"/>
          <w:lang w:val="en-US" w:eastAsia="zh-CN"/>
        </w:rPr>
        <w:t>响应文件要件达不到本询比文件要求的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）营业执照等复印件未加盖投标单位公章或骑缝章的。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响应文件未按照本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文件第六篇响应文件格式中所规定签字、盖章</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营业执照经营范围</w:t>
      </w:r>
      <w:r>
        <w:rPr>
          <w:rFonts w:hint="eastAsia" w:asciiTheme="minorEastAsia" w:hAnsiTheme="minorEastAsia" w:eastAsiaTheme="minorEastAsia" w:cstheme="minorEastAsia"/>
          <w:sz w:val="24"/>
          <w:szCs w:val="24"/>
          <w:lang w:eastAsia="zh-CN"/>
        </w:rPr>
        <w:t>（或法人证书服务范围）</w:t>
      </w:r>
      <w:r>
        <w:rPr>
          <w:rFonts w:hint="eastAsia" w:asciiTheme="minorEastAsia" w:hAnsiTheme="minorEastAsia" w:eastAsiaTheme="minorEastAsia" w:cstheme="minorEastAsia"/>
          <w:sz w:val="24"/>
          <w:szCs w:val="24"/>
        </w:rPr>
        <w:t>或者特定资格条件与本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要求不符合或不在有效期内的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color w:val="auto"/>
          <w:sz w:val="24"/>
          <w:szCs w:val="24"/>
          <w:lang w:val="en-US" w:eastAsia="zh-CN"/>
        </w:rPr>
        <w:t>响应文件的投标时间与本询比文件发出时间和投标截止时间冲突的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投标报价超过最高限价或者未按本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文件要求</w:t>
      </w:r>
      <w:r>
        <w:rPr>
          <w:rFonts w:hint="eastAsia" w:asciiTheme="minorEastAsia" w:hAnsiTheme="minorEastAsia" w:eastAsiaTheme="minorEastAsia" w:cstheme="minorEastAsia"/>
          <w:sz w:val="24"/>
          <w:szCs w:val="24"/>
        </w:rPr>
        <w:t>报价的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(7)响应文件如有更改，在更改处未加盖公章的。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(8)响应文件未按本询比文件“第六篇 供应商编制响应文件要求”编制的。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文件内容不完全满足本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的要求的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中标</w:t>
      </w:r>
      <w:r>
        <w:rPr>
          <w:rFonts w:hint="eastAsia" w:asciiTheme="minorEastAsia" w:hAnsiTheme="minorEastAsia" w:eastAsiaTheme="minorEastAsia" w:cstheme="minorEastAsia"/>
          <w:color w:val="auto"/>
          <w:sz w:val="24"/>
          <w:szCs w:val="24"/>
        </w:rPr>
        <w:t>原则</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综合评分法：满分100分，采购单位对已入围（有效响应）评审的投标单位的响应文件和报价进行评分，</w:t>
      </w:r>
      <w:r>
        <w:rPr>
          <w:rFonts w:hint="eastAsia" w:asciiTheme="minorEastAsia" w:hAnsiTheme="minorEastAsia" w:cstheme="minorEastAsia"/>
          <w:color w:val="auto"/>
          <w:sz w:val="24"/>
          <w:szCs w:val="24"/>
          <w:lang w:val="en-US" w:eastAsia="zh-CN"/>
        </w:rPr>
        <w:t>授权评标委员会直接确定综合</w:t>
      </w:r>
      <w:r>
        <w:rPr>
          <w:rFonts w:hint="eastAsia" w:asciiTheme="minorEastAsia" w:hAnsiTheme="minorEastAsia" w:eastAsiaTheme="minorEastAsia" w:cstheme="minorEastAsia"/>
          <w:color w:val="auto"/>
          <w:sz w:val="24"/>
          <w:szCs w:val="24"/>
          <w:lang w:val="en-US" w:eastAsia="zh-CN"/>
        </w:rPr>
        <w:t>得分最高的投标单位为</w:t>
      </w:r>
      <w:r>
        <w:rPr>
          <w:rFonts w:hint="eastAsia" w:asciiTheme="minorEastAsia" w:hAnsiTheme="minorEastAsia" w:cstheme="minorEastAsia"/>
          <w:color w:val="auto"/>
          <w:sz w:val="24"/>
          <w:szCs w:val="24"/>
          <w:lang w:val="en-US" w:eastAsia="zh-CN"/>
        </w:rPr>
        <w:t>中标人</w:t>
      </w:r>
      <w:r>
        <w:rPr>
          <w:rFonts w:hint="eastAsia" w:asciiTheme="minorEastAsia" w:hAnsiTheme="minorEastAsia" w:eastAsiaTheme="minorEastAsia" w:cstheme="minorEastAsia"/>
          <w:color w:val="auto"/>
          <w:sz w:val="24"/>
          <w:szCs w:val="24"/>
          <w:lang w:val="en-US" w:eastAsia="zh-CN"/>
        </w:rPr>
        <w:t>；未入围的投标单位不参与评审。评审得分保留小数点后两位，如果得分相同，按小数点后第三位高的原则选取。</w:t>
      </w:r>
    </w:p>
    <w:p>
      <w:pPr>
        <w:pageBreakBefore w:val="0"/>
        <w:kinsoku/>
        <w:wordWrap/>
        <w:overflowPunct/>
        <w:topLinePunct w:val="0"/>
        <w:autoSpaceDE/>
        <w:autoSpaceDN/>
        <w:bidi w:val="0"/>
        <w:adjustRightInd/>
        <w:snapToGrid w:val="0"/>
        <w:spacing w:line="460" w:lineRule="exact"/>
        <w:ind w:firstLine="480" w:firstLineChars="20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评分标准</w:t>
      </w:r>
    </w:p>
    <w:tbl>
      <w:tblPr>
        <w:tblStyle w:val="12"/>
        <w:tblpPr w:leftFromText="180" w:rightFromText="180" w:vertAnchor="text" w:horzAnchor="page" w:tblpX="1715" w:tblpY="452"/>
        <w:tblOverlap w:val="never"/>
        <w:tblW w:w="8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1001"/>
        <w:gridCol w:w="607"/>
        <w:gridCol w:w="4250"/>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06"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atLeast"/>
              <w:ind w:firstLine="28"/>
              <w:jc w:val="center"/>
              <w:textAlignment w:val="auto"/>
              <w:rPr>
                <w:bCs/>
              </w:rPr>
            </w:pPr>
            <w:r>
              <w:rPr>
                <w:rFonts w:hint="eastAsia"/>
                <w:bCs/>
              </w:rPr>
              <w:t>序号</w:t>
            </w:r>
          </w:p>
        </w:tc>
        <w:tc>
          <w:tcPr>
            <w:tcW w:w="1001"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atLeast"/>
              <w:ind w:firstLine="28"/>
              <w:jc w:val="center"/>
              <w:textAlignment w:val="auto"/>
              <w:rPr>
                <w:bCs/>
              </w:rPr>
            </w:pPr>
            <w:r>
              <w:rPr>
                <w:rFonts w:hint="eastAsia"/>
                <w:bCs/>
              </w:rPr>
              <w:t>评分因素</w:t>
            </w:r>
          </w:p>
          <w:p>
            <w:pPr>
              <w:keepNext w:val="0"/>
              <w:keepLines w:val="0"/>
              <w:pageBreakBefore w:val="0"/>
              <w:widowControl w:val="0"/>
              <w:kinsoku/>
              <w:wordWrap/>
              <w:overflowPunct/>
              <w:topLinePunct w:val="0"/>
              <w:autoSpaceDE/>
              <w:autoSpaceDN/>
              <w:bidi w:val="0"/>
              <w:adjustRightInd/>
              <w:snapToGrid/>
              <w:spacing w:line="440" w:lineRule="atLeast"/>
              <w:ind w:firstLine="28"/>
              <w:jc w:val="center"/>
              <w:textAlignment w:val="auto"/>
              <w:rPr>
                <w:bCs/>
              </w:rPr>
            </w:pPr>
            <w:r>
              <w:rPr>
                <w:rFonts w:hint="eastAsia"/>
                <w:bCs/>
              </w:rPr>
              <w:t>及权重</w:t>
            </w:r>
          </w:p>
        </w:tc>
        <w:tc>
          <w:tcPr>
            <w:tcW w:w="607"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atLeast"/>
              <w:ind w:firstLine="28"/>
              <w:jc w:val="center"/>
              <w:textAlignment w:val="auto"/>
              <w:rPr>
                <w:bCs/>
              </w:rPr>
            </w:pPr>
            <w:r>
              <w:rPr>
                <w:rFonts w:hint="eastAsia"/>
                <w:bCs/>
              </w:rPr>
              <w:t>分值</w:t>
            </w:r>
          </w:p>
        </w:tc>
        <w:tc>
          <w:tcPr>
            <w:tcW w:w="425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atLeast"/>
              <w:ind w:firstLine="28"/>
              <w:jc w:val="center"/>
              <w:textAlignment w:val="auto"/>
              <w:rPr>
                <w:bCs/>
              </w:rPr>
            </w:pPr>
            <w:r>
              <w:rPr>
                <w:rFonts w:hint="eastAsia"/>
                <w:bCs/>
              </w:rPr>
              <w:t>评分标准</w:t>
            </w:r>
          </w:p>
        </w:tc>
        <w:tc>
          <w:tcPr>
            <w:tcW w:w="1979" w:type="dxa"/>
            <w:tcMar>
              <w:top w:w="15" w:type="dxa"/>
              <w:left w:w="15" w:type="dxa"/>
              <w:bottom w:w="0" w:type="dxa"/>
              <w:right w:w="15" w:type="dxa"/>
            </w:tcMar>
            <w:vAlign w:val="center"/>
          </w:tcPr>
          <w:p>
            <w:pPr>
              <w:spacing w:line="240" w:lineRule="atLeast"/>
              <w:ind w:firstLine="28"/>
              <w:jc w:val="center"/>
              <w:rPr>
                <w:bCs/>
              </w:rPr>
            </w:pPr>
            <w:r>
              <w:rPr>
                <w:rFonts w:hint="eastAsia"/>
                <w:bCs/>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06"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1001"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Theme="minorEastAsia" w:hAnsiTheme="minorEastAsia" w:eastAsiaTheme="minorEastAsia" w:cstheme="minorEastAsia"/>
                <w:color w:val="auto"/>
                <w:spacing w:val="13"/>
                <w:kern w:val="2"/>
                <w:sz w:val="21"/>
                <w:szCs w:val="21"/>
                <w:lang w:val="en-US" w:eastAsia="zh-CN" w:bidi="ar-SA"/>
              </w:rPr>
            </w:pPr>
            <w:r>
              <w:rPr>
                <w:rFonts w:hint="eastAsia" w:asciiTheme="minorEastAsia" w:hAnsiTheme="minorEastAsia" w:eastAsiaTheme="minorEastAsia" w:cstheme="minorEastAsia"/>
                <w:color w:val="auto"/>
                <w:spacing w:val="13"/>
                <w:kern w:val="2"/>
                <w:sz w:val="21"/>
                <w:szCs w:val="21"/>
                <w:lang w:val="en-US" w:eastAsia="zh-CN" w:bidi="ar-SA"/>
              </w:rPr>
              <w:t>投标报价(</w:t>
            </w:r>
            <w:r>
              <w:rPr>
                <w:rFonts w:hint="eastAsia" w:asciiTheme="minorEastAsia" w:hAnsiTheme="minorEastAsia" w:cstheme="minorEastAsia"/>
                <w:color w:val="auto"/>
                <w:spacing w:val="13"/>
                <w:kern w:val="2"/>
                <w:sz w:val="21"/>
                <w:szCs w:val="21"/>
                <w:lang w:val="en-US" w:eastAsia="zh-CN" w:bidi="ar-SA"/>
              </w:rPr>
              <w:t>40</w:t>
            </w:r>
            <w:r>
              <w:rPr>
                <w:rFonts w:hint="eastAsia" w:asciiTheme="minorEastAsia" w:hAnsiTheme="minorEastAsia" w:eastAsiaTheme="minorEastAsia" w:cstheme="minorEastAsia"/>
                <w:color w:val="auto"/>
                <w:spacing w:val="13"/>
                <w:kern w:val="2"/>
                <w:sz w:val="21"/>
                <w:szCs w:val="21"/>
                <w:lang w:val="en-US" w:eastAsia="zh-CN" w:bidi="ar-SA"/>
              </w:rPr>
              <w:t>%)</w:t>
            </w:r>
          </w:p>
        </w:tc>
        <w:tc>
          <w:tcPr>
            <w:tcW w:w="607"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Theme="minorEastAsia" w:hAnsiTheme="minorEastAsia" w:eastAsiaTheme="minorEastAsia" w:cstheme="minorEastAsia"/>
                <w:color w:val="auto"/>
                <w:spacing w:val="13"/>
                <w:kern w:val="2"/>
                <w:sz w:val="21"/>
                <w:szCs w:val="21"/>
                <w:lang w:val="en-US" w:eastAsia="zh-CN" w:bidi="ar-SA"/>
              </w:rPr>
            </w:pPr>
            <w:r>
              <w:rPr>
                <w:rFonts w:hint="eastAsia" w:asciiTheme="minorEastAsia" w:hAnsiTheme="minorEastAsia" w:cstheme="minorEastAsia"/>
                <w:color w:val="auto"/>
                <w:spacing w:val="13"/>
                <w:kern w:val="2"/>
                <w:sz w:val="21"/>
                <w:szCs w:val="21"/>
                <w:lang w:val="en-US" w:eastAsia="zh-CN" w:bidi="ar-SA"/>
              </w:rPr>
              <w:t>40</w:t>
            </w:r>
            <w:r>
              <w:rPr>
                <w:rFonts w:hint="eastAsia" w:asciiTheme="minorEastAsia" w:hAnsiTheme="minorEastAsia" w:eastAsiaTheme="minorEastAsia" w:cstheme="minorEastAsia"/>
                <w:color w:val="auto"/>
                <w:spacing w:val="13"/>
                <w:kern w:val="2"/>
                <w:sz w:val="21"/>
                <w:szCs w:val="21"/>
                <w:lang w:val="en-US" w:eastAsia="zh-CN" w:bidi="ar-SA"/>
              </w:rPr>
              <w:t>分</w:t>
            </w:r>
          </w:p>
        </w:tc>
        <w:tc>
          <w:tcPr>
            <w:tcW w:w="4250" w:type="dxa"/>
            <w:tcMar>
              <w:top w:w="15" w:type="dxa"/>
              <w:left w:w="15" w:type="dxa"/>
              <w:bottom w:w="0" w:type="dxa"/>
              <w:right w:w="15" w:type="dxa"/>
            </w:tcMar>
            <w:vAlign w:val="center"/>
          </w:tcPr>
          <w:p>
            <w:pPr>
              <w:pageBreakBefore w:val="0"/>
              <w:widowControl w:val="0"/>
              <w:kinsoku/>
              <w:wordWrap/>
              <w:overflowPunct/>
              <w:topLinePunct w:val="0"/>
              <w:autoSpaceDE/>
              <w:autoSpaceDN/>
              <w:bidi w:val="0"/>
              <w:adjustRightInd/>
              <w:snapToGrid/>
              <w:spacing w:line="360" w:lineRule="exact"/>
              <w:ind w:firstLine="28"/>
              <w:jc w:val="left"/>
              <w:textAlignment w:val="auto"/>
              <w:rPr>
                <w:rFonts w:hint="eastAsia" w:asciiTheme="minorEastAsia" w:hAnsiTheme="minorEastAsia" w:eastAsiaTheme="minorEastAsia" w:cstheme="minorEastAsia"/>
                <w:color w:val="auto"/>
                <w:spacing w:val="13"/>
                <w:kern w:val="2"/>
                <w:sz w:val="21"/>
                <w:szCs w:val="21"/>
                <w:lang w:val="en-US" w:eastAsia="zh-CN" w:bidi="ar-SA"/>
              </w:rPr>
            </w:pPr>
            <w:r>
              <w:rPr>
                <w:rFonts w:hint="eastAsia" w:asciiTheme="minorEastAsia" w:hAnsiTheme="minorEastAsia" w:eastAsiaTheme="minorEastAsia" w:cstheme="minorEastAsia"/>
                <w:color w:val="auto"/>
                <w:spacing w:val="13"/>
                <w:kern w:val="2"/>
                <w:sz w:val="21"/>
                <w:szCs w:val="21"/>
                <w:lang w:val="en-US" w:eastAsia="zh-CN" w:bidi="ar-SA"/>
              </w:rPr>
              <w:t>有效的投标报价中的最低价为评标基准价，按照下列公式计算每个供应商的投标价格得分。</w:t>
            </w:r>
          </w:p>
          <w:p>
            <w:pPr>
              <w:pageBreakBefore w:val="0"/>
              <w:widowControl w:val="0"/>
              <w:kinsoku/>
              <w:wordWrap/>
              <w:overflowPunct/>
              <w:topLinePunct w:val="0"/>
              <w:autoSpaceDE/>
              <w:autoSpaceDN/>
              <w:bidi w:val="0"/>
              <w:adjustRightInd/>
              <w:snapToGrid/>
              <w:spacing w:line="360" w:lineRule="exact"/>
              <w:ind w:firstLine="28"/>
              <w:jc w:val="left"/>
              <w:textAlignment w:val="auto"/>
              <w:rPr>
                <w:rFonts w:hint="eastAsia" w:asciiTheme="minorEastAsia" w:hAnsiTheme="minorEastAsia" w:eastAsiaTheme="minorEastAsia" w:cstheme="minorEastAsia"/>
                <w:color w:val="auto"/>
                <w:spacing w:val="13"/>
                <w:kern w:val="2"/>
                <w:sz w:val="21"/>
                <w:szCs w:val="21"/>
                <w:lang w:val="en-US" w:eastAsia="zh-CN" w:bidi="ar-SA"/>
              </w:rPr>
            </w:pPr>
            <w:r>
              <w:rPr>
                <w:rFonts w:hint="eastAsia" w:asciiTheme="minorEastAsia" w:hAnsiTheme="minorEastAsia" w:eastAsiaTheme="minorEastAsia" w:cstheme="minorEastAsia"/>
                <w:color w:val="auto"/>
                <w:spacing w:val="13"/>
                <w:kern w:val="2"/>
                <w:sz w:val="21"/>
                <w:szCs w:val="21"/>
                <w:lang w:val="en-US" w:eastAsia="zh-CN" w:bidi="ar-SA"/>
              </w:rPr>
              <w:t>投标报价得分＝（评标基准价/投标报价总价）×价格权重×100。</w:t>
            </w:r>
          </w:p>
        </w:tc>
        <w:tc>
          <w:tcPr>
            <w:tcW w:w="1979" w:type="dxa"/>
            <w:tcMar>
              <w:top w:w="15" w:type="dxa"/>
              <w:left w:w="15" w:type="dxa"/>
              <w:bottom w:w="0" w:type="dxa"/>
              <w:right w:w="15" w:type="dxa"/>
            </w:tcMar>
            <w:vAlign w:val="center"/>
          </w:tcPr>
          <w:p>
            <w:pPr>
              <w:pageBreakBefore w:val="0"/>
              <w:widowControl w:val="0"/>
              <w:kinsoku/>
              <w:wordWrap/>
              <w:overflowPunct/>
              <w:topLinePunct w:val="0"/>
              <w:autoSpaceDE/>
              <w:autoSpaceDN/>
              <w:bidi w:val="0"/>
              <w:adjustRightInd/>
              <w:snapToGrid/>
              <w:spacing w:line="360" w:lineRule="exact"/>
              <w:ind w:firstLine="28"/>
              <w:jc w:val="left"/>
              <w:textAlignment w:val="auto"/>
              <w:rPr>
                <w:rFonts w:hint="eastAsia" w:asciiTheme="minorEastAsia" w:hAnsiTheme="minorEastAsia" w:eastAsiaTheme="minorEastAsia" w:cstheme="minorEastAsia"/>
                <w:color w:val="auto"/>
                <w:spacing w:val="13"/>
                <w:kern w:val="2"/>
                <w:sz w:val="21"/>
                <w:szCs w:val="21"/>
                <w:lang w:val="en-US" w:eastAsia="zh-CN" w:bidi="ar-SA"/>
              </w:rPr>
            </w:pPr>
            <w:r>
              <w:rPr>
                <w:rFonts w:hint="eastAsia" w:asciiTheme="minorEastAsia" w:hAnsiTheme="minorEastAsia" w:eastAsiaTheme="minorEastAsia" w:cstheme="minorEastAsia"/>
                <w:color w:val="auto"/>
                <w:spacing w:val="13"/>
                <w:kern w:val="2"/>
                <w:sz w:val="21"/>
                <w:szCs w:val="21"/>
                <w:lang w:val="en-US" w:eastAsia="zh-CN" w:bidi="ar-SA"/>
              </w:rPr>
              <w:t>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06" w:hRule="atLeast"/>
        </w:trPr>
        <w:tc>
          <w:tcPr>
            <w:tcW w:w="506"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Theme="minorEastAsia" w:hAnsiTheme="minorEastAsia" w:eastAsiaTheme="minorEastAsia" w:cstheme="minorEastAsia"/>
                <w:bCs/>
                <w:sz w:val="21"/>
                <w:szCs w:val="21"/>
              </w:rPr>
            </w:pPr>
          </w:p>
        </w:tc>
        <w:tc>
          <w:tcPr>
            <w:tcW w:w="100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Theme="minorEastAsia" w:hAnsiTheme="minorEastAsia" w:eastAsiaTheme="minorEastAsia" w:cstheme="minorEastAsia"/>
                <w:color w:val="auto"/>
                <w:spacing w:val="13"/>
                <w:kern w:val="2"/>
                <w:sz w:val="21"/>
                <w:szCs w:val="21"/>
                <w:lang w:val="en-US" w:eastAsia="zh-CN" w:bidi="ar-SA"/>
              </w:rPr>
            </w:pPr>
            <w:r>
              <w:rPr>
                <w:rFonts w:hint="eastAsia" w:asciiTheme="minorEastAsia" w:hAnsiTheme="minorEastAsia" w:eastAsiaTheme="minorEastAsia" w:cstheme="minorEastAsia"/>
                <w:color w:val="auto"/>
                <w:spacing w:val="13"/>
                <w:kern w:val="2"/>
                <w:sz w:val="21"/>
                <w:szCs w:val="21"/>
                <w:lang w:val="en-US" w:eastAsia="zh-CN" w:bidi="ar-SA"/>
              </w:rPr>
              <w:t>人员配置（</w:t>
            </w:r>
            <w:r>
              <w:rPr>
                <w:rFonts w:hint="eastAsia" w:asciiTheme="minorEastAsia" w:hAnsiTheme="minorEastAsia" w:cstheme="minorEastAsia"/>
                <w:color w:val="auto"/>
                <w:spacing w:val="13"/>
                <w:kern w:val="2"/>
                <w:sz w:val="21"/>
                <w:szCs w:val="21"/>
                <w:lang w:val="en-US" w:eastAsia="zh-CN" w:bidi="ar-SA"/>
              </w:rPr>
              <w:t>5</w:t>
            </w:r>
            <w:r>
              <w:rPr>
                <w:rFonts w:hint="eastAsia" w:asciiTheme="minorEastAsia" w:hAnsiTheme="minorEastAsia" w:eastAsiaTheme="minorEastAsia" w:cstheme="minorEastAsia"/>
                <w:color w:val="auto"/>
                <w:spacing w:val="13"/>
                <w:kern w:val="2"/>
                <w:sz w:val="21"/>
                <w:szCs w:val="21"/>
                <w:lang w:val="en-US" w:eastAsia="zh-CN" w:bidi="ar-SA"/>
              </w:rPr>
              <w:t>%）</w:t>
            </w:r>
          </w:p>
        </w:tc>
        <w:tc>
          <w:tcPr>
            <w:tcW w:w="607"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Theme="minorEastAsia" w:hAnsiTheme="minorEastAsia" w:eastAsiaTheme="minorEastAsia" w:cstheme="minorEastAsia"/>
                <w:color w:val="auto"/>
                <w:spacing w:val="13"/>
                <w:kern w:val="2"/>
                <w:sz w:val="21"/>
                <w:szCs w:val="21"/>
                <w:lang w:val="en-US" w:eastAsia="zh-CN" w:bidi="ar-SA"/>
              </w:rPr>
            </w:pPr>
            <w:r>
              <w:rPr>
                <w:rFonts w:hint="eastAsia" w:asciiTheme="minorEastAsia" w:hAnsiTheme="minorEastAsia" w:cstheme="minorEastAsia"/>
                <w:color w:val="auto"/>
                <w:spacing w:val="13"/>
                <w:kern w:val="2"/>
                <w:sz w:val="21"/>
                <w:szCs w:val="21"/>
                <w:lang w:val="en-US" w:eastAsia="zh-CN" w:bidi="ar-SA"/>
              </w:rPr>
              <w:t>5</w:t>
            </w:r>
            <w:r>
              <w:rPr>
                <w:rFonts w:hint="eastAsia" w:asciiTheme="minorEastAsia" w:hAnsiTheme="minorEastAsia" w:eastAsiaTheme="minorEastAsia" w:cstheme="minorEastAsia"/>
                <w:color w:val="auto"/>
                <w:spacing w:val="13"/>
                <w:kern w:val="2"/>
                <w:sz w:val="21"/>
                <w:szCs w:val="21"/>
                <w:lang w:val="en-US" w:eastAsia="zh-CN" w:bidi="ar-SA"/>
              </w:rPr>
              <w:t>分</w:t>
            </w:r>
          </w:p>
        </w:tc>
        <w:tc>
          <w:tcPr>
            <w:tcW w:w="4250" w:type="dxa"/>
            <w:vAlign w:val="center"/>
          </w:tcPr>
          <w:p>
            <w:pPr>
              <w:pageBreakBefore w:val="0"/>
              <w:widowControl w:val="0"/>
              <w:kinsoku/>
              <w:wordWrap/>
              <w:overflowPunct/>
              <w:topLinePunct w:val="0"/>
              <w:autoSpaceDE/>
              <w:autoSpaceDN/>
              <w:bidi w:val="0"/>
              <w:adjustRightInd/>
              <w:snapToGrid/>
              <w:spacing w:line="360" w:lineRule="exact"/>
              <w:ind w:firstLine="28"/>
              <w:jc w:val="left"/>
              <w:textAlignment w:val="auto"/>
              <w:rPr>
                <w:rFonts w:hint="eastAsia" w:asciiTheme="minorEastAsia" w:hAnsiTheme="minorEastAsia" w:eastAsiaTheme="minorEastAsia" w:cstheme="minorEastAsia"/>
                <w:color w:val="auto"/>
                <w:spacing w:val="13"/>
                <w:kern w:val="2"/>
                <w:sz w:val="21"/>
                <w:szCs w:val="21"/>
                <w:lang w:val="en-US" w:eastAsia="zh-CN" w:bidi="ar-SA"/>
              </w:rPr>
            </w:pPr>
            <w:r>
              <w:rPr>
                <w:rFonts w:hint="eastAsia" w:ascii="Times New Roman" w:hAnsi="Times New Roman" w:eastAsia="宋体"/>
                <w:bCs/>
                <w:color w:val="auto"/>
                <w:highlight w:val="none"/>
              </w:rPr>
              <w:t>担任本项目的项目负责人具备注册咨询工程师（投资）</w:t>
            </w:r>
            <w:r>
              <w:rPr>
                <w:rFonts w:hint="eastAsia" w:ascii="Times New Roman" w:hAnsi="Times New Roman" w:eastAsia="宋体"/>
                <w:bCs/>
                <w:color w:val="auto"/>
                <w:highlight w:val="none"/>
                <w:lang w:val="en-US" w:eastAsia="zh-CN"/>
              </w:rPr>
              <w:t>证书得1分，</w:t>
            </w:r>
            <w:r>
              <w:rPr>
                <w:rFonts w:hint="eastAsia" w:ascii="Times New Roman" w:hAnsi="Times New Roman" w:eastAsia="宋体"/>
                <w:bCs/>
                <w:color w:val="auto"/>
                <w:highlight w:val="none"/>
              </w:rPr>
              <w:t>担任本项目的项目负责人</w:t>
            </w:r>
            <w:r>
              <w:rPr>
                <w:rFonts w:hint="eastAsia" w:ascii="Times New Roman" w:hAnsi="Times New Roman" w:eastAsia="宋体"/>
                <w:bCs/>
                <w:color w:val="auto"/>
                <w:highlight w:val="none"/>
                <w:lang w:val="en-US" w:eastAsia="zh-CN"/>
              </w:rPr>
              <w:t>具备</w:t>
            </w:r>
            <w:r>
              <w:rPr>
                <w:rFonts w:hint="eastAsia" w:ascii="Times New Roman" w:hAnsi="Times New Roman" w:eastAsia="宋体"/>
                <w:bCs/>
                <w:color w:val="auto"/>
                <w:highlight w:val="none"/>
              </w:rPr>
              <w:t>正高级工程师</w:t>
            </w:r>
            <w:r>
              <w:rPr>
                <w:rFonts w:hint="eastAsia" w:ascii="Times New Roman" w:hAnsi="Times New Roman" w:eastAsia="宋体"/>
                <w:bCs/>
                <w:color w:val="auto"/>
                <w:highlight w:val="none"/>
                <w:lang w:val="en-US" w:eastAsia="zh-CN"/>
              </w:rPr>
              <w:t>技术职称</w:t>
            </w:r>
            <w:r>
              <w:rPr>
                <w:rFonts w:hint="eastAsia" w:ascii="Times New Roman" w:hAnsi="Times New Roman" w:eastAsia="宋体"/>
                <w:bCs/>
                <w:color w:val="auto"/>
                <w:highlight w:val="none"/>
              </w:rPr>
              <w:t>得</w:t>
            </w:r>
            <w:r>
              <w:rPr>
                <w:rFonts w:hint="eastAsia" w:ascii="Times New Roman" w:hAnsi="Times New Roman" w:eastAsia="宋体"/>
                <w:bCs/>
                <w:color w:val="auto"/>
                <w:highlight w:val="none"/>
                <w:lang w:val="en-US" w:eastAsia="zh-CN"/>
              </w:rPr>
              <w:t>2</w:t>
            </w:r>
            <w:r>
              <w:rPr>
                <w:rFonts w:hint="eastAsia" w:ascii="Times New Roman" w:hAnsi="Times New Roman" w:eastAsia="宋体"/>
                <w:bCs/>
                <w:color w:val="auto"/>
                <w:highlight w:val="none"/>
              </w:rPr>
              <w:t>分，</w:t>
            </w:r>
            <w:r>
              <w:rPr>
                <w:rFonts w:hint="eastAsia" w:ascii="Times New Roman" w:hAnsi="Times New Roman" w:eastAsia="宋体"/>
                <w:bCs/>
                <w:color w:val="auto"/>
                <w:highlight w:val="none"/>
                <w:lang w:val="en-US" w:eastAsia="zh-CN"/>
              </w:rPr>
              <w:t>最高得3分，均</w:t>
            </w:r>
            <w:r>
              <w:rPr>
                <w:rFonts w:hint="eastAsia" w:ascii="Times New Roman" w:hAnsi="Times New Roman" w:eastAsia="宋体"/>
                <w:color w:val="auto"/>
                <w:highlight w:val="none"/>
                <w:lang w:val="en-US" w:eastAsia="zh-CN"/>
              </w:rPr>
              <w:t>未提供得0分</w:t>
            </w:r>
            <w:r>
              <w:rPr>
                <w:rFonts w:hint="eastAsia" w:ascii="Times New Roman" w:hAnsi="Times New Roman" w:eastAsia="宋体"/>
                <w:bCs/>
                <w:color w:val="auto"/>
                <w:highlight w:val="none"/>
              </w:rPr>
              <w:t>。</w:t>
            </w:r>
            <w:r>
              <w:rPr>
                <w:rFonts w:hint="eastAsia" w:ascii="Times New Roman" w:hAnsi="Times New Roman" w:eastAsia="宋体"/>
                <w:bCs/>
                <w:color w:val="auto"/>
                <w:highlight w:val="none"/>
                <w:lang w:val="en-US" w:eastAsia="zh-CN"/>
              </w:rPr>
              <w:t>除项目负责人外，</w:t>
            </w:r>
            <w:r>
              <w:rPr>
                <w:rFonts w:hint="eastAsia" w:ascii="Times New Roman" w:hAnsi="Times New Roman" w:eastAsia="宋体"/>
                <w:bCs/>
                <w:color w:val="auto"/>
                <w:highlight w:val="none"/>
              </w:rPr>
              <w:t>项目</w:t>
            </w:r>
            <w:r>
              <w:rPr>
                <w:rFonts w:hint="eastAsia" w:ascii="Times New Roman" w:hAnsi="Times New Roman" w:eastAsia="宋体"/>
                <w:bCs/>
                <w:color w:val="auto"/>
                <w:highlight w:val="none"/>
                <w:lang w:val="en-US" w:eastAsia="zh-CN"/>
              </w:rPr>
              <w:t>组</w:t>
            </w:r>
            <w:r>
              <w:rPr>
                <w:rFonts w:hint="eastAsia" w:ascii="Times New Roman" w:hAnsi="Times New Roman" w:eastAsia="宋体"/>
                <w:bCs/>
                <w:color w:val="auto"/>
                <w:highlight w:val="none"/>
              </w:rPr>
              <w:t>成员每有1人具备注册咨询工程师（投资）</w:t>
            </w:r>
            <w:r>
              <w:rPr>
                <w:rFonts w:hint="eastAsia" w:ascii="Times New Roman" w:hAnsi="Times New Roman" w:eastAsia="宋体"/>
                <w:bCs/>
                <w:color w:val="auto"/>
                <w:highlight w:val="none"/>
                <w:lang w:val="en-US" w:eastAsia="zh-CN"/>
              </w:rPr>
              <w:t>证书</w:t>
            </w:r>
            <w:r>
              <w:rPr>
                <w:rFonts w:hint="eastAsia" w:ascii="Times New Roman" w:hAnsi="Times New Roman" w:eastAsia="宋体"/>
                <w:bCs/>
                <w:color w:val="auto"/>
                <w:highlight w:val="none"/>
              </w:rPr>
              <w:t>得</w:t>
            </w:r>
            <w:r>
              <w:rPr>
                <w:rFonts w:hint="eastAsia" w:ascii="Times New Roman" w:hAnsi="Times New Roman" w:eastAsia="宋体"/>
                <w:bCs/>
                <w:color w:val="auto"/>
                <w:highlight w:val="none"/>
                <w:lang w:val="en-US" w:eastAsia="zh-CN"/>
              </w:rPr>
              <w:t>1</w:t>
            </w:r>
            <w:r>
              <w:rPr>
                <w:rFonts w:hint="eastAsia" w:ascii="Times New Roman" w:hAnsi="Times New Roman" w:eastAsia="宋体"/>
                <w:bCs/>
                <w:color w:val="auto"/>
                <w:highlight w:val="none"/>
              </w:rPr>
              <w:t>分，最高得</w:t>
            </w:r>
            <w:r>
              <w:rPr>
                <w:rFonts w:hint="eastAsia" w:ascii="Times New Roman" w:hAnsi="Times New Roman" w:eastAsia="宋体"/>
                <w:bCs/>
                <w:color w:val="auto"/>
                <w:highlight w:val="none"/>
                <w:lang w:val="en-US" w:eastAsia="zh-CN"/>
              </w:rPr>
              <w:t>2</w:t>
            </w:r>
            <w:r>
              <w:rPr>
                <w:rFonts w:hint="eastAsia" w:ascii="Times New Roman" w:hAnsi="Times New Roman" w:eastAsia="宋体"/>
                <w:bCs/>
                <w:color w:val="auto"/>
                <w:highlight w:val="none"/>
              </w:rPr>
              <w:t>分，</w:t>
            </w:r>
            <w:r>
              <w:rPr>
                <w:rFonts w:hint="eastAsia" w:ascii="Times New Roman" w:hAnsi="Times New Roman" w:eastAsia="宋体"/>
                <w:color w:val="auto"/>
                <w:highlight w:val="none"/>
                <w:lang w:val="en-US" w:eastAsia="zh-CN"/>
              </w:rPr>
              <w:t>未提供得0分</w:t>
            </w:r>
            <w:r>
              <w:rPr>
                <w:rFonts w:hint="eastAsia" w:ascii="Times New Roman" w:hAnsi="Times New Roman" w:eastAsia="宋体"/>
                <w:bCs/>
                <w:color w:val="auto"/>
                <w:highlight w:val="none"/>
              </w:rPr>
              <w:t>。</w:t>
            </w:r>
          </w:p>
        </w:tc>
        <w:tc>
          <w:tcPr>
            <w:tcW w:w="1979" w:type="dxa"/>
            <w:tcMar>
              <w:top w:w="15" w:type="dxa"/>
              <w:left w:w="15" w:type="dxa"/>
              <w:bottom w:w="0" w:type="dxa"/>
              <w:right w:w="15" w:type="dxa"/>
            </w:tcMar>
            <w:vAlign w:val="center"/>
          </w:tcPr>
          <w:p>
            <w:pPr>
              <w:pageBreakBefore w:val="0"/>
              <w:widowControl w:val="0"/>
              <w:kinsoku/>
              <w:wordWrap/>
              <w:overflowPunct/>
              <w:topLinePunct w:val="0"/>
              <w:autoSpaceDE/>
              <w:autoSpaceDN/>
              <w:bidi w:val="0"/>
              <w:adjustRightInd/>
              <w:snapToGrid/>
              <w:spacing w:line="360" w:lineRule="exact"/>
              <w:ind w:firstLine="28"/>
              <w:jc w:val="left"/>
              <w:textAlignment w:val="auto"/>
              <w:rPr>
                <w:rFonts w:hint="eastAsia" w:asciiTheme="minorEastAsia" w:hAnsiTheme="minorEastAsia" w:eastAsiaTheme="minorEastAsia" w:cstheme="minorEastAsia"/>
                <w:color w:val="auto"/>
                <w:spacing w:val="13"/>
                <w:kern w:val="2"/>
                <w:sz w:val="21"/>
                <w:szCs w:val="21"/>
                <w:lang w:val="en-US" w:eastAsia="zh-CN" w:bidi="ar-SA"/>
              </w:rPr>
            </w:pPr>
            <w:r>
              <w:rPr>
                <w:rFonts w:hint="eastAsia" w:asciiTheme="minorEastAsia" w:hAnsiTheme="minorEastAsia" w:eastAsiaTheme="minorEastAsia" w:cstheme="minorEastAsia"/>
                <w:color w:val="auto"/>
                <w:spacing w:val="13"/>
                <w:kern w:val="2"/>
                <w:sz w:val="21"/>
                <w:szCs w:val="21"/>
                <w:lang w:val="en-US" w:eastAsia="zh-CN" w:bidi="ar-SA"/>
              </w:rPr>
              <w:t>人员须为本单位员工，提供相应的注册证、职称证、近3个月参保证明。</w:t>
            </w:r>
          </w:p>
          <w:p>
            <w:pPr>
              <w:pageBreakBefore w:val="0"/>
              <w:widowControl w:val="0"/>
              <w:kinsoku/>
              <w:wordWrap/>
              <w:overflowPunct/>
              <w:topLinePunct w:val="0"/>
              <w:autoSpaceDE/>
              <w:autoSpaceDN/>
              <w:bidi w:val="0"/>
              <w:adjustRightInd/>
              <w:snapToGrid/>
              <w:spacing w:line="360" w:lineRule="exact"/>
              <w:ind w:firstLine="28"/>
              <w:jc w:val="left"/>
              <w:textAlignment w:val="auto"/>
              <w:rPr>
                <w:rFonts w:hint="eastAsia" w:asciiTheme="minorEastAsia" w:hAnsiTheme="minorEastAsia" w:eastAsiaTheme="minorEastAsia" w:cstheme="minorEastAsia"/>
                <w:color w:val="auto"/>
                <w:spacing w:val="13"/>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22" w:hRule="atLeast"/>
        </w:trPr>
        <w:tc>
          <w:tcPr>
            <w:tcW w:w="506"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w:t>
            </w:r>
          </w:p>
        </w:tc>
        <w:tc>
          <w:tcPr>
            <w:tcW w:w="100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Theme="minorEastAsia" w:hAnsiTheme="minorEastAsia" w:eastAsiaTheme="minorEastAsia" w:cstheme="minorEastAsia"/>
                <w:color w:val="auto"/>
                <w:spacing w:val="13"/>
                <w:kern w:val="2"/>
                <w:sz w:val="21"/>
                <w:szCs w:val="21"/>
                <w:lang w:val="en-US" w:eastAsia="zh-CN" w:bidi="ar-SA"/>
              </w:rPr>
            </w:pPr>
            <w:r>
              <w:rPr>
                <w:rFonts w:hint="eastAsia" w:asciiTheme="minorEastAsia" w:hAnsiTheme="minorEastAsia" w:eastAsiaTheme="minorEastAsia" w:cstheme="minorEastAsia"/>
                <w:color w:val="auto"/>
                <w:spacing w:val="13"/>
                <w:kern w:val="2"/>
                <w:sz w:val="21"/>
                <w:szCs w:val="21"/>
                <w:lang w:val="en-US" w:eastAsia="zh-CN" w:bidi="ar-SA"/>
              </w:rPr>
              <w:t>业绩要求（</w:t>
            </w:r>
            <w:r>
              <w:rPr>
                <w:rFonts w:hint="eastAsia" w:asciiTheme="minorEastAsia" w:hAnsiTheme="minorEastAsia" w:cstheme="minorEastAsia"/>
                <w:color w:val="auto"/>
                <w:spacing w:val="13"/>
                <w:kern w:val="2"/>
                <w:sz w:val="21"/>
                <w:szCs w:val="21"/>
                <w:lang w:val="en-US" w:eastAsia="zh-CN" w:bidi="ar-SA"/>
              </w:rPr>
              <w:t>5</w:t>
            </w:r>
            <w:r>
              <w:rPr>
                <w:rFonts w:hint="eastAsia" w:asciiTheme="minorEastAsia" w:hAnsiTheme="minorEastAsia" w:eastAsiaTheme="minorEastAsia" w:cstheme="minorEastAsia"/>
                <w:color w:val="auto"/>
                <w:spacing w:val="13"/>
                <w:kern w:val="2"/>
                <w:sz w:val="21"/>
                <w:szCs w:val="21"/>
                <w:lang w:val="en-US" w:eastAsia="zh-CN" w:bidi="ar-SA"/>
              </w:rPr>
              <w:t>%）</w:t>
            </w:r>
          </w:p>
        </w:tc>
        <w:tc>
          <w:tcPr>
            <w:tcW w:w="607"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firstLineChars="0"/>
              <w:jc w:val="center"/>
              <w:textAlignment w:val="auto"/>
              <w:rPr>
                <w:rFonts w:hint="eastAsia" w:asciiTheme="minorEastAsia" w:hAnsiTheme="minorEastAsia" w:eastAsiaTheme="minorEastAsia" w:cstheme="minorEastAsia"/>
                <w:color w:val="auto"/>
                <w:spacing w:val="13"/>
                <w:kern w:val="2"/>
                <w:sz w:val="21"/>
                <w:szCs w:val="21"/>
                <w:lang w:val="en-US" w:eastAsia="zh-CN" w:bidi="ar-SA"/>
              </w:rPr>
            </w:pPr>
            <w:r>
              <w:rPr>
                <w:rFonts w:hint="eastAsia" w:asciiTheme="minorEastAsia" w:hAnsiTheme="minorEastAsia" w:cstheme="minorEastAsia"/>
                <w:color w:val="auto"/>
                <w:spacing w:val="13"/>
                <w:kern w:val="2"/>
                <w:sz w:val="21"/>
                <w:szCs w:val="21"/>
                <w:lang w:val="en-US" w:eastAsia="zh-CN" w:bidi="ar-SA"/>
              </w:rPr>
              <w:t>5</w:t>
            </w:r>
            <w:r>
              <w:rPr>
                <w:rFonts w:hint="eastAsia" w:asciiTheme="minorEastAsia" w:hAnsiTheme="minorEastAsia" w:eastAsiaTheme="minorEastAsia" w:cstheme="minorEastAsia"/>
                <w:color w:val="auto"/>
                <w:spacing w:val="13"/>
                <w:kern w:val="2"/>
                <w:sz w:val="21"/>
                <w:szCs w:val="21"/>
                <w:lang w:val="en-US" w:eastAsia="zh-CN" w:bidi="ar-SA"/>
              </w:rPr>
              <w:t>分</w:t>
            </w:r>
          </w:p>
        </w:tc>
        <w:tc>
          <w:tcPr>
            <w:tcW w:w="4250" w:type="dxa"/>
            <w:vAlign w:val="center"/>
          </w:tcPr>
          <w:p>
            <w:pPr>
              <w:pageBreakBefore w:val="0"/>
              <w:widowControl w:val="0"/>
              <w:kinsoku/>
              <w:wordWrap/>
              <w:overflowPunct/>
              <w:topLinePunct w:val="0"/>
              <w:autoSpaceDE/>
              <w:autoSpaceDN/>
              <w:bidi w:val="0"/>
              <w:adjustRightInd/>
              <w:snapToGrid/>
              <w:spacing w:line="360" w:lineRule="exact"/>
              <w:ind w:firstLine="28"/>
              <w:jc w:val="left"/>
              <w:textAlignment w:val="auto"/>
              <w:rPr>
                <w:rFonts w:hint="eastAsia" w:asciiTheme="minorEastAsia" w:hAnsiTheme="minorEastAsia" w:eastAsiaTheme="minorEastAsia" w:cstheme="minorEastAsia"/>
                <w:color w:val="auto"/>
                <w:spacing w:val="13"/>
                <w:kern w:val="2"/>
                <w:sz w:val="21"/>
                <w:szCs w:val="21"/>
                <w:lang w:val="en-US" w:eastAsia="zh-CN" w:bidi="ar-SA"/>
              </w:rPr>
            </w:pPr>
            <w:r>
              <w:rPr>
                <w:rFonts w:hint="default" w:ascii="Times New Roman" w:hAnsi="Times New Roman" w:cs="Times New Roman"/>
                <w:color w:val="auto"/>
                <w:lang w:eastAsia="zh-CN"/>
              </w:rPr>
              <w:t>在通过资格审查的基础上（通过资格审查的业绩不参与商务评审），</w:t>
            </w:r>
            <w:r>
              <w:rPr>
                <w:rFonts w:hint="eastAsia" w:ascii="Times New Roman" w:hAnsi="Times New Roman" w:eastAsia="宋体"/>
                <w:color w:val="auto"/>
                <w:kern w:val="0"/>
                <w:highlight w:val="none"/>
              </w:rPr>
              <w:t>自2</w:t>
            </w:r>
            <w:r>
              <w:rPr>
                <w:rFonts w:hint="eastAsia" w:ascii="Times New Roman" w:hAnsi="Times New Roman" w:eastAsia="宋体"/>
                <w:color w:val="auto"/>
                <w:highlight w:val="none"/>
              </w:rPr>
              <w:t>02</w:t>
            </w:r>
            <w:r>
              <w:rPr>
                <w:rFonts w:hint="eastAsia" w:ascii="Times New Roman" w:hAnsi="Times New Roman" w:eastAsia="宋体"/>
                <w:color w:val="auto"/>
                <w:highlight w:val="none"/>
                <w:lang w:val="en-US" w:eastAsia="zh-CN"/>
              </w:rPr>
              <w:t>3</w:t>
            </w:r>
            <w:r>
              <w:rPr>
                <w:rFonts w:hint="eastAsia" w:ascii="Times New Roman" w:hAnsi="Times New Roman" w:eastAsia="宋体"/>
                <w:color w:val="auto"/>
                <w:highlight w:val="none"/>
              </w:rPr>
              <w:t>年1月1日以来，</w:t>
            </w:r>
            <w:r>
              <w:rPr>
                <w:rFonts w:hint="eastAsia" w:asciiTheme="minorEastAsia" w:hAnsiTheme="minorEastAsia" w:eastAsiaTheme="minorEastAsia" w:cstheme="minorEastAsia"/>
                <w:color w:val="auto"/>
                <w:spacing w:val="13"/>
                <w:kern w:val="2"/>
                <w:sz w:val="21"/>
                <w:szCs w:val="21"/>
                <w:lang w:val="en-US" w:eastAsia="zh-CN" w:bidi="ar-SA"/>
              </w:rPr>
              <w:t>承接类似概念实施方案编制项目业绩提供1个得</w:t>
            </w:r>
            <w:r>
              <w:rPr>
                <w:rFonts w:hint="eastAsia" w:asciiTheme="minorEastAsia" w:hAnsiTheme="minorEastAsia" w:cstheme="minorEastAsia"/>
                <w:color w:val="auto"/>
                <w:spacing w:val="13"/>
                <w:kern w:val="2"/>
                <w:sz w:val="21"/>
                <w:szCs w:val="21"/>
                <w:lang w:val="en-US" w:eastAsia="zh-CN" w:bidi="ar-SA"/>
              </w:rPr>
              <w:t>5</w:t>
            </w:r>
            <w:r>
              <w:rPr>
                <w:rFonts w:hint="eastAsia" w:asciiTheme="minorEastAsia" w:hAnsiTheme="minorEastAsia" w:eastAsiaTheme="minorEastAsia" w:cstheme="minorEastAsia"/>
                <w:color w:val="auto"/>
                <w:spacing w:val="13"/>
                <w:kern w:val="2"/>
                <w:sz w:val="21"/>
                <w:szCs w:val="21"/>
                <w:lang w:val="en-US" w:eastAsia="zh-CN" w:bidi="ar-SA"/>
              </w:rPr>
              <w:t>分，本项最多</w:t>
            </w:r>
            <w:r>
              <w:rPr>
                <w:rFonts w:hint="eastAsia" w:asciiTheme="minorEastAsia" w:hAnsiTheme="minorEastAsia" w:cstheme="minorEastAsia"/>
                <w:color w:val="auto"/>
                <w:spacing w:val="13"/>
                <w:kern w:val="2"/>
                <w:sz w:val="21"/>
                <w:szCs w:val="21"/>
                <w:lang w:val="en-US" w:eastAsia="zh-CN" w:bidi="ar-SA"/>
              </w:rPr>
              <w:t>5</w:t>
            </w:r>
            <w:r>
              <w:rPr>
                <w:rFonts w:hint="eastAsia" w:asciiTheme="minorEastAsia" w:hAnsiTheme="minorEastAsia" w:eastAsiaTheme="minorEastAsia" w:cstheme="minorEastAsia"/>
                <w:color w:val="auto"/>
                <w:spacing w:val="13"/>
                <w:kern w:val="2"/>
                <w:sz w:val="21"/>
                <w:szCs w:val="21"/>
                <w:lang w:val="en-US" w:eastAsia="zh-CN" w:bidi="ar-SA"/>
              </w:rPr>
              <w:t>分</w:t>
            </w:r>
            <w:r>
              <w:rPr>
                <w:rFonts w:hint="eastAsia" w:ascii="Times New Roman" w:hAnsi="Times New Roman" w:eastAsia="宋体"/>
                <w:bCs/>
                <w:color w:val="auto"/>
                <w:highlight w:val="none"/>
                <w:lang w:val="en-US" w:eastAsia="zh-CN"/>
              </w:rPr>
              <w:t>，</w:t>
            </w:r>
            <w:r>
              <w:rPr>
                <w:rFonts w:hint="eastAsia" w:ascii="Times New Roman" w:hAnsi="Times New Roman" w:eastAsia="宋体"/>
                <w:color w:val="auto"/>
                <w:highlight w:val="none"/>
                <w:lang w:val="en-US" w:eastAsia="zh-CN"/>
              </w:rPr>
              <w:t>未提供得0分</w:t>
            </w:r>
            <w:r>
              <w:rPr>
                <w:rFonts w:hint="eastAsia" w:ascii="Times New Roman" w:hAnsi="Times New Roman" w:eastAsia="宋体"/>
                <w:bCs/>
                <w:color w:val="auto"/>
                <w:highlight w:val="none"/>
                <w:lang w:val="en-US" w:eastAsia="zh-CN"/>
              </w:rPr>
              <w:t>。</w:t>
            </w:r>
          </w:p>
        </w:tc>
        <w:tc>
          <w:tcPr>
            <w:tcW w:w="1979" w:type="dxa"/>
            <w:tcMar>
              <w:top w:w="15" w:type="dxa"/>
              <w:left w:w="15" w:type="dxa"/>
              <w:bottom w:w="0" w:type="dxa"/>
              <w:right w:w="15" w:type="dxa"/>
            </w:tcMar>
            <w:vAlign w:val="center"/>
          </w:tcPr>
          <w:p>
            <w:pPr>
              <w:pageBreakBefore w:val="0"/>
              <w:widowControl w:val="0"/>
              <w:kinsoku/>
              <w:wordWrap/>
              <w:overflowPunct/>
              <w:topLinePunct w:val="0"/>
              <w:autoSpaceDE/>
              <w:autoSpaceDN/>
              <w:bidi w:val="0"/>
              <w:adjustRightInd/>
              <w:snapToGrid/>
              <w:spacing w:line="360" w:lineRule="exact"/>
              <w:ind w:firstLine="28"/>
              <w:jc w:val="left"/>
              <w:textAlignment w:val="auto"/>
              <w:rPr>
                <w:rFonts w:hint="eastAsia" w:asciiTheme="minorEastAsia" w:hAnsiTheme="minorEastAsia" w:eastAsiaTheme="minorEastAsia" w:cstheme="minorEastAsia"/>
                <w:color w:val="auto"/>
                <w:spacing w:val="13"/>
                <w:kern w:val="2"/>
                <w:sz w:val="21"/>
                <w:szCs w:val="21"/>
                <w:lang w:val="en-US" w:eastAsia="zh-CN" w:bidi="ar-SA"/>
              </w:rPr>
            </w:pPr>
            <w:r>
              <w:rPr>
                <w:rFonts w:hint="eastAsia" w:asciiTheme="minorEastAsia" w:hAnsiTheme="minorEastAsia" w:eastAsiaTheme="minorEastAsia" w:cstheme="minorEastAsia"/>
                <w:color w:val="auto"/>
                <w:spacing w:val="13"/>
                <w:kern w:val="2"/>
                <w:sz w:val="21"/>
                <w:szCs w:val="21"/>
                <w:lang w:val="en-US" w:eastAsia="zh-CN" w:bidi="ar-SA"/>
              </w:rPr>
              <w:t>提供合同复印件或扫描件加盖供应商公章。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06" w:type="dxa"/>
            <w:vMerge w:val="restart"/>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4</w:t>
            </w:r>
          </w:p>
        </w:tc>
        <w:tc>
          <w:tcPr>
            <w:tcW w:w="1001" w:type="dxa"/>
            <w:vMerge w:val="restart"/>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Theme="minorEastAsia" w:hAnsiTheme="minorEastAsia" w:eastAsiaTheme="minorEastAsia" w:cstheme="minorEastAsia"/>
                <w:color w:val="auto"/>
                <w:spacing w:val="13"/>
                <w:kern w:val="2"/>
                <w:sz w:val="21"/>
                <w:szCs w:val="21"/>
                <w:lang w:val="en-US" w:eastAsia="zh-CN" w:bidi="ar-SA"/>
              </w:rPr>
            </w:pPr>
            <w:r>
              <w:rPr>
                <w:rFonts w:hint="eastAsia" w:asciiTheme="minorEastAsia" w:hAnsiTheme="minorEastAsia" w:eastAsiaTheme="minorEastAsia" w:cstheme="minorEastAsia"/>
                <w:color w:val="auto"/>
                <w:spacing w:val="13"/>
                <w:kern w:val="2"/>
                <w:sz w:val="21"/>
                <w:szCs w:val="21"/>
                <w:lang w:val="en-US" w:eastAsia="zh-CN" w:bidi="ar-SA"/>
              </w:rPr>
              <w:t>服务方案（</w:t>
            </w:r>
            <w:r>
              <w:rPr>
                <w:rFonts w:hint="eastAsia" w:asciiTheme="minorEastAsia" w:hAnsiTheme="minorEastAsia" w:cstheme="minorEastAsia"/>
                <w:color w:val="auto"/>
                <w:spacing w:val="13"/>
                <w:kern w:val="2"/>
                <w:sz w:val="21"/>
                <w:szCs w:val="21"/>
                <w:lang w:val="en-US" w:eastAsia="zh-CN" w:bidi="ar-SA"/>
              </w:rPr>
              <w:t>50</w:t>
            </w:r>
            <w:r>
              <w:rPr>
                <w:rFonts w:hint="eastAsia" w:asciiTheme="minorEastAsia" w:hAnsiTheme="minorEastAsia" w:eastAsiaTheme="minorEastAsia" w:cstheme="minorEastAsia"/>
                <w:color w:val="auto"/>
                <w:spacing w:val="13"/>
                <w:kern w:val="2"/>
                <w:sz w:val="21"/>
                <w:szCs w:val="21"/>
                <w:lang w:val="en-US" w:eastAsia="zh-CN" w:bidi="ar-SA"/>
              </w:rPr>
              <w:t>%）</w:t>
            </w:r>
          </w:p>
        </w:tc>
        <w:tc>
          <w:tcPr>
            <w:tcW w:w="607" w:type="dxa"/>
            <w:vMerge w:val="restart"/>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Theme="minorEastAsia" w:hAnsiTheme="minorEastAsia" w:eastAsiaTheme="minorEastAsia" w:cstheme="minorEastAsia"/>
                <w:color w:val="auto"/>
                <w:spacing w:val="13"/>
                <w:kern w:val="2"/>
                <w:sz w:val="21"/>
                <w:szCs w:val="21"/>
                <w:lang w:val="en-US" w:eastAsia="zh-CN" w:bidi="ar-SA"/>
              </w:rPr>
            </w:pPr>
            <w:r>
              <w:rPr>
                <w:rFonts w:hint="eastAsia" w:asciiTheme="minorEastAsia" w:hAnsiTheme="minorEastAsia" w:cstheme="minorEastAsia"/>
                <w:color w:val="auto"/>
                <w:spacing w:val="13"/>
                <w:kern w:val="2"/>
                <w:sz w:val="21"/>
                <w:szCs w:val="21"/>
                <w:lang w:val="en-US" w:eastAsia="zh-CN" w:bidi="ar-SA"/>
              </w:rPr>
              <w:t>50</w:t>
            </w:r>
            <w:r>
              <w:rPr>
                <w:rFonts w:hint="eastAsia" w:asciiTheme="minorEastAsia" w:hAnsiTheme="minorEastAsia" w:eastAsiaTheme="minorEastAsia" w:cstheme="minorEastAsia"/>
                <w:color w:val="auto"/>
                <w:spacing w:val="13"/>
                <w:kern w:val="2"/>
                <w:sz w:val="21"/>
                <w:szCs w:val="21"/>
                <w:lang w:val="en-US" w:eastAsia="zh-CN" w:bidi="ar-SA"/>
              </w:rPr>
              <w:t>分</w:t>
            </w:r>
          </w:p>
        </w:tc>
        <w:tc>
          <w:tcPr>
            <w:tcW w:w="4250" w:type="dxa"/>
            <w:tcMar>
              <w:top w:w="15" w:type="dxa"/>
              <w:left w:w="15" w:type="dxa"/>
              <w:bottom w:w="0" w:type="dxa"/>
              <w:right w:w="15" w:type="dxa"/>
            </w:tcMar>
            <w:vAlign w:val="center"/>
          </w:tcPr>
          <w:p>
            <w:pPr>
              <w:pageBreakBefore w:val="0"/>
              <w:widowControl w:val="0"/>
              <w:kinsoku/>
              <w:wordWrap/>
              <w:overflowPunct/>
              <w:topLinePunct w:val="0"/>
              <w:autoSpaceDE/>
              <w:autoSpaceDN/>
              <w:bidi w:val="0"/>
              <w:adjustRightInd/>
              <w:snapToGrid/>
              <w:spacing w:line="360" w:lineRule="exact"/>
              <w:ind w:firstLine="28"/>
              <w:jc w:val="left"/>
              <w:textAlignment w:val="auto"/>
              <w:rPr>
                <w:rFonts w:hint="eastAsia" w:asciiTheme="minorEastAsia" w:hAnsiTheme="minorEastAsia" w:eastAsiaTheme="minorEastAsia" w:cstheme="minorEastAsia"/>
                <w:color w:val="auto"/>
                <w:spacing w:val="13"/>
                <w:kern w:val="2"/>
                <w:sz w:val="21"/>
                <w:szCs w:val="21"/>
                <w:lang w:val="en-US" w:eastAsia="zh-CN" w:bidi="ar-SA"/>
              </w:rPr>
            </w:pPr>
            <w:r>
              <w:rPr>
                <w:rFonts w:hint="eastAsia" w:asciiTheme="minorEastAsia" w:hAnsiTheme="minorEastAsia" w:eastAsiaTheme="minorEastAsia" w:cstheme="minorEastAsia"/>
                <w:color w:val="auto"/>
                <w:spacing w:val="13"/>
                <w:kern w:val="2"/>
                <w:sz w:val="21"/>
                <w:szCs w:val="21"/>
                <w:lang w:val="en-US" w:eastAsia="zh-CN" w:bidi="ar-SA"/>
              </w:rPr>
              <w:t>1.项目理解</w:t>
            </w:r>
          </w:p>
          <w:p>
            <w:pPr>
              <w:pageBreakBefore w:val="0"/>
              <w:widowControl w:val="0"/>
              <w:kinsoku/>
              <w:wordWrap/>
              <w:overflowPunct/>
              <w:topLinePunct w:val="0"/>
              <w:autoSpaceDE/>
              <w:autoSpaceDN/>
              <w:bidi w:val="0"/>
              <w:adjustRightInd/>
              <w:snapToGrid/>
              <w:spacing w:line="360" w:lineRule="exact"/>
              <w:ind w:firstLine="28"/>
              <w:jc w:val="left"/>
              <w:textAlignment w:val="auto"/>
              <w:rPr>
                <w:rFonts w:hint="eastAsia" w:asciiTheme="minorEastAsia" w:hAnsiTheme="minorEastAsia" w:eastAsiaTheme="minorEastAsia" w:cstheme="minorEastAsia"/>
                <w:color w:val="auto"/>
                <w:spacing w:val="13"/>
                <w:kern w:val="2"/>
                <w:sz w:val="21"/>
                <w:szCs w:val="21"/>
                <w:lang w:val="en-US" w:eastAsia="zh-CN" w:bidi="ar-SA"/>
              </w:rPr>
            </w:pPr>
            <w:r>
              <w:rPr>
                <w:rFonts w:hint="eastAsia" w:asciiTheme="minorEastAsia" w:hAnsiTheme="minorEastAsia" w:eastAsiaTheme="minorEastAsia" w:cstheme="minorEastAsia"/>
                <w:color w:val="auto"/>
                <w:spacing w:val="13"/>
                <w:kern w:val="2"/>
                <w:sz w:val="21"/>
                <w:szCs w:val="21"/>
                <w:lang w:val="en-US" w:eastAsia="zh-CN" w:bidi="ar-SA"/>
              </w:rPr>
              <w:t>结合项目实际，描述包括但不限于对本项目的设计理念、预算成本等。(优：14-20分，良：7-13分，差：0-6分)</w:t>
            </w:r>
          </w:p>
        </w:tc>
        <w:tc>
          <w:tcPr>
            <w:tcW w:w="1979" w:type="dxa"/>
            <w:vMerge w:val="restart"/>
            <w:tcMar>
              <w:top w:w="15" w:type="dxa"/>
              <w:left w:w="15" w:type="dxa"/>
              <w:bottom w:w="0" w:type="dxa"/>
              <w:right w:w="15" w:type="dxa"/>
            </w:tcMar>
            <w:vAlign w:val="center"/>
          </w:tcPr>
          <w:p>
            <w:pPr>
              <w:pageBreakBefore w:val="0"/>
              <w:widowControl w:val="0"/>
              <w:kinsoku/>
              <w:wordWrap/>
              <w:overflowPunct/>
              <w:topLinePunct w:val="0"/>
              <w:autoSpaceDE/>
              <w:autoSpaceDN/>
              <w:bidi w:val="0"/>
              <w:adjustRightInd/>
              <w:snapToGrid/>
              <w:spacing w:line="360" w:lineRule="exact"/>
              <w:ind w:firstLine="28"/>
              <w:jc w:val="left"/>
              <w:textAlignment w:val="auto"/>
              <w:rPr>
                <w:rFonts w:hint="eastAsia" w:asciiTheme="minorEastAsia" w:hAnsiTheme="minorEastAsia" w:eastAsiaTheme="minorEastAsia" w:cstheme="minorEastAsia"/>
                <w:color w:val="auto"/>
                <w:spacing w:val="13"/>
                <w:kern w:val="2"/>
                <w:sz w:val="21"/>
                <w:szCs w:val="21"/>
                <w:lang w:val="en-US" w:eastAsia="zh-CN" w:bidi="ar-SA"/>
              </w:rPr>
            </w:pPr>
            <w:r>
              <w:rPr>
                <w:rFonts w:hint="eastAsia" w:asciiTheme="minorEastAsia" w:hAnsiTheme="minorEastAsia" w:eastAsiaTheme="minorEastAsia" w:cstheme="minorEastAsia"/>
                <w:color w:val="auto"/>
                <w:spacing w:val="13"/>
                <w:kern w:val="2"/>
                <w:sz w:val="21"/>
                <w:szCs w:val="21"/>
                <w:lang w:val="en-US" w:eastAsia="zh-CN" w:bidi="ar-SA"/>
              </w:rPr>
              <w:t>提供服务方案。</w:t>
            </w:r>
          </w:p>
          <w:p>
            <w:pPr>
              <w:pageBreakBefore w:val="0"/>
              <w:widowControl w:val="0"/>
              <w:kinsoku/>
              <w:wordWrap/>
              <w:overflowPunct/>
              <w:topLinePunct w:val="0"/>
              <w:autoSpaceDE/>
              <w:autoSpaceDN/>
              <w:bidi w:val="0"/>
              <w:adjustRightInd/>
              <w:snapToGrid/>
              <w:spacing w:line="360" w:lineRule="exact"/>
              <w:ind w:firstLine="28"/>
              <w:jc w:val="left"/>
              <w:textAlignment w:val="auto"/>
              <w:rPr>
                <w:rFonts w:hint="eastAsia" w:asciiTheme="minorEastAsia" w:hAnsiTheme="minorEastAsia" w:eastAsiaTheme="minorEastAsia" w:cstheme="minorEastAsia"/>
                <w:color w:val="auto"/>
                <w:spacing w:val="13"/>
                <w:kern w:val="2"/>
                <w:sz w:val="21"/>
                <w:szCs w:val="21"/>
                <w:lang w:val="en-US" w:eastAsia="zh-CN" w:bidi="ar-SA"/>
              </w:rPr>
            </w:pPr>
            <w:r>
              <w:rPr>
                <w:rFonts w:hint="eastAsia" w:asciiTheme="minorEastAsia" w:hAnsiTheme="minorEastAsia" w:eastAsiaTheme="minorEastAsia" w:cstheme="minorEastAsia"/>
                <w:color w:val="auto"/>
                <w:spacing w:val="13"/>
                <w:kern w:val="2"/>
                <w:sz w:val="21"/>
                <w:szCs w:val="21"/>
                <w:lang w:val="en-US" w:eastAsia="zh-CN" w:bidi="ar-SA"/>
              </w:rPr>
              <w:t>评审小组所有成员的评分取算术平均值为该供应商服务方案部分得分。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06" w:type="dxa"/>
            <w:vMerge w:val="continue"/>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Theme="minorEastAsia" w:hAnsiTheme="minorEastAsia" w:eastAsiaTheme="minorEastAsia" w:cstheme="minorEastAsia"/>
                <w:bCs/>
                <w:sz w:val="21"/>
                <w:szCs w:val="21"/>
              </w:rPr>
            </w:pPr>
          </w:p>
        </w:tc>
        <w:tc>
          <w:tcPr>
            <w:tcW w:w="1001" w:type="dxa"/>
            <w:vMerge w:val="continue"/>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Theme="minorEastAsia" w:hAnsiTheme="minorEastAsia" w:eastAsiaTheme="minorEastAsia" w:cstheme="minorEastAsia"/>
                <w:color w:val="auto"/>
                <w:spacing w:val="13"/>
                <w:kern w:val="2"/>
                <w:sz w:val="21"/>
                <w:szCs w:val="21"/>
                <w:lang w:val="en-US" w:eastAsia="zh-CN" w:bidi="ar-SA"/>
              </w:rPr>
            </w:pPr>
          </w:p>
        </w:tc>
        <w:tc>
          <w:tcPr>
            <w:tcW w:w="607" w:type="dxa"/>
            <w:vMerge w:val="continue"/>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Theme="minorEastAsia" w:hAnsiTheme="minorEastAsia" w:eastAsiaTheme="minorEastAsia" w:cstheme="minorEastAsia"/>
                <w:color w:val="auto"/>
                <w:spacing w:val="13"/>
                <w:kern w:val="2"/>
                <w:sz w:val="21"/>
                <w:szCs w:val="21"/>
                <w:lang w:val="en-US" w:eastAsia="zh-CN" w:bidi="ar-SA"/>
              </w:rPr>
            </w:pPr>
          </w:p>
        </w:tc>
        <w:tc>
          <w:tcPr>
            <w:tcW w:w="4250" w:type="dxa"/>
            <w:tcMar>
              <w:top w:w="15" w:type="dxa"/>
              <w:left w:w="15" w:type="dxa"/>
              <w:bottom w:w="0" w:type="dxa"/>
              <w:right w:w="15" w:type="dxa"/>
            </w:tcMar>
            <w:vAlign w:val="center"/>
          </w:tcPr>
          <w:p>
            <w:pPr>
              <w:pageBreakBefore w:val="0"/>
              <w:widowControl w:val="0"/>
              <w:kinsoku/>
              <w:wordWrap/>
              <w:overflowPunct/>
              <w:topLinePunct w:val="0"/>
              <w:autoSpaceDE/>
              <w:autoSpaceDN/>
              <w:bidi w:val="0"/>
              <w:adjustRightInd/>
              <w:snapToGrid/>
              <w:spacing w:line="360" w:lineRule="exact"/>
              <w:ind w:firstLine="28"/>
              <w:jc w:val="left"/>
              <w:textAlignment w:val="auto"/>
              <w:rPr>
                <w:rFonts w:hint="eastAsia" w:asciiTheme="minorEastAsia" w:hAnsiTheme="minorEastAsia" w:eastAsiaTheme="minorEastAsia" w:cstheme="minorEastAsia"/>
                <w:color w:val="auto"/>
                <w:spacing w:val="13"/>
                <w:kern w:val="2"/>
                <w:sz w:val="21"/>
                <w:szCs w:val="21"/>
                <w:lang w:val="en-US" w:eastAsia="zh-CN" w:bidi="ar-SA"/>
              </w:rPr>
            </w:pPr>
            <w:r>
              <w:rPr>
                <w:rFonts w:hint="eastAsia" w:asciiTheme="minorEastAsia" w:hAnsiTheme="minorEastAsia" w:eastAsiaTheme="minorEastAsia" w:cstheme="minorEastAsia"/>
                <w:color w:val="auto"/>
                <w:spacing w:val="13"/>
                <w:kern w:val="2"/>
                <w:sz w:val="21"/>
                <w:szCs w:val="21"/>
                <w:lang w:val="en-US" w:eastAsia="zh-CN" w:bidi="ar-SA"/>
              </w:rPr>
              <w:t>2.质量保证措施</w:t>
            </w:r>
          </w:p>
          <w:p>
            <w:pPr>
              <w:pageBreakBefore w:val="0"/>
              <w:widowControl w:val="0"/>
              <w:kinsoku/>
              <w:wordWrap/>
              <w:overflowPunct/>
              <w:topLinePunct w:val="0"/>
              <w:autoSpaceDE/>
              <w:autoSpaceDN/>
              <w:bidi w:val="0"/>
              <w:adjustRightInd/>
              <w:snapToGrid/>
              <w:spacing w:line="360" w:lineRule="exact"/>
              <w:ind w:firstLine="28"/>
              <w:jc w:val="left"/>
              <w:textAlignment w:val="auto"/>
              <w:rPr>
                <w:rFonts w:hint="eastAsia" w:asciiTheme="minorEastAsia" w:hAnsiTheme="minorEastAsia" w:eastAsiaTheme="minorEastAsia" w:cstheme="minorEastAsia"/>
                <w:color w:val="auto"/>
                <w:spacing w:val="13"/>
                <w:kern w:val="2"/>
                <w:sz w:val="21"/>
                <w:szCs w:val="21"/>
                <w:lang w:val="en-US" w:eastAsia="zh-CN" w:bidi="ar-SA"/>
              </w:rPr>
            </w:pPr>
            <w:r>
              <w:rPr>
                <w:rFonts w:hint="eastAsia" w:asciiTheme="minorEastAsia" w:hAnsiTheme="minorEastAsia" w:eastAsiaTheme="minorEastAsia" w:cstheme="minorEastAsia"/>
                <w:color w:val="auto"/>
                <w:spacing w:val="13"/>
                <w:kern w:val="2"/>
                <w:sz w:val="21"/>
                <w:szCs w:val="21"/>
                <w:lang w:val="en-US" w:eastAsia="zh-CN" w:bidi="ar-SA"/>
              </w:rPr>
              <w:t>包括但不限于服务质量进度目标、质量管理体系等。 (优：</w:t>
            </w:r>
            <w:r>
              <w:rPr>
                <w:rFonts w:hint="eastAsia" w:asciiTheme="minorEastAsia" w:hAnsiTheme="minorEastAsia" w:cstheme="minorEastAsia"/>
                <w:color w:val="auto"/>
                <w:spacing w:val="13"/>
                <w:kern w:val="2"/>
                <w:sz w:val="21"/>
                <w:szCs w:val="21"/>
                <w:lang w:val="en-US" w:eastAsia="zh-CN" w:bidi="ar-SA"/>
              </w:rPr>
              <w:t>10-15</w:t>
            </w:r>
            <w:r>
              <w:rPr>
                <w:rFonts w:hint="eastAsia" w:asciiTheme="minorEastAsia" w:hAnsiTheme="minorEastAsia" w:eastAsiaTheme="minorEastAsia" w:cstheme="minorEastAsia"/>
                <w:color w:val="auto"/>
                <w:spacing w:val="13"/>
                <w:kern w:val="2"/>
                <w:sz w:val="21"/>
                <w:szCs w:val="21"/>
                <w:lang w:val="en-US" w:eastAsia="zh-CN" w:bidi="ar-SA"/>
              </w:rPr>
              <w:t>分，良：</w:t>
            </w:r>
            <w:r>
              <w:rPr>
                <w:rFonts w:hint="eastAsia" w:asciiTheme="minorEastAsia" w:hAnsiTheme="minorEastAsia" w:cstheme="minorEastAsia"/>
                <w:color w:val="auto"/>
                <w:spacing w:val="13"/>
                <w:kern w:val="2"/>
                <w:sz w:val="21"/>
                <w:szCs w:val="21"/>
                <w:lang w:val="en-US" w:eastAsia="zh-CN" w:bidi="ar-SA"/>
              </w:rPr>
              <w:t>5-9</w:t>
            </w:r>
            <w:r>
              <w:rPr>
                <w:rFonts w:hint="eastAsia" w:asciiTheme="minorEastAsia" w:hAnsiTheme="minorEastAsia" w:eastAsiaTheme="minorEastAsia" w:cstheme="minorEastAsia"/>
                <w:color w:val="auto"/>
                <w:spacing w:val="13"/>
                <w:kern w:val="2"/>
                <w:sz w:val="21"/>
                <w:szCs w:val="21"/>
                <w:lang w:val="en-US" w:eastAsia="zh-CN" w:bidi="ar-SA"/>
              </w:rPr>
              <w:t>分，差：</w:t>
            </w:r>
            <w:r>
              <w:rPr>
                <w:rFonts w:hint="eastAsia" w:asciiTheme="minorEastAsia" w:hAnsiTheme="minorEastAsia" w:cstheme="minorEastAsia"/>
                <w:color w:val="auto"/>
                <w:spacing w:val="13"/>
                <w:kern w:val="2"/>
                <w:sz w:val="21"/>
                <w:szCs w:val="21"/>
                <w:lang w:val="en-US" w:eastAsia="zh-CN" w:bidi="ar-SA"/>
              </w:rPr>
              <w:t>1-4</w:t>
            </w:r>
            <w:r>
              <w:rPr>
                <w:rFonts w:hint="eastAsia" w:asciiTheme="minorEastAsia" w:hAnsiTheme="minorEastAsia" w:eastAsiaTheme="minorEastAsia" w:cstheme="minorEastAsia"/>
                <w:color w:val="auto"/>
                <w:spacing w:val="13"/>
                <w:kern w:val="2"/>
                <w:sz w:val="21"/>
                <w:szCs w:val="21"/>
                <w:lang w:val="en-US" w:eastAsia="zh-CN" w:bidi="ar-SA"/>
              </w:rPr>
              <w:t>分)</w:t>
            </w:r>
          </w:p>
        </w:tc>
        <w:tc>
          <w:tcPr>
            <w:tcW w:w="1979" w:type="dxa"/>
            <w:vMerge w:val="continue"/>
            <w:tcMar>
              <w:top w:w="15" w:type="dxa"/>
              <w:left w:w="15" w:type="dxa"/>
              <w:bottom w:w="0" w:type="dxa"/>
              <w:right w:w="15" w:type="dxa"/>
            </w:tcMar>
            <w:vAlign w:val="center"/>
          </w:tcPr>
          <w:p>
            <w:pPr>
              <w:pageBreakBefore w:val="0"/>
              <w:widowControl w:val="0"/>
              <w:kinsoku/>
              <w:wordWrap/>
              <w:overflowPunct/>
              <w:topLinePunct w:val="0"/>
              <w:autoSpaceDE/>
              <w:autoSpaceDN/>
              <w:bidi w:val="0"/>
              <w:adjustRightInd/>
              <w:snapToGrid/>
              <w:spacing w:line="360" w:lineRule="exact"/>
              <w:ind w:firstLine="28" w:firstLineChars="0"/>
              <w:jc w:val="left"/>
              <w:textAlignment w:val="auto"/>
              <w:rPr>
                <w:rFonts w:hint="eastAsia" w:asciiTheme="minorEastAsia" w:hAnsiTheme="minorEastAsia" w:eastAsiaTheme="minorEastAsia" w:cstheme="minorEastAsia"/>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06" w:type="dxa"/>
            <w:vMerge w:val="continue"/>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Theme="minorEastAsia" w:hAnsiTheme="minorEastAsia" w:eastAsiaTheme="minorEastAsia" w:cstheme="minorEastAsia"/>
                <w:bCs/>
                <w:sz w:val="21"/>
                <w:szCs w:val="21"/>
              </w:rPr>
            </w:pPr>
          </w:p>
        </w:tc>
        <w:tc>
          <w:tcPr>
            <w:tcW w:w="1001" w:type="dxa"/>
            <w:vMerge w:val="continue"/>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Theme="minorEastAsia" w:hAnsiTheme="minorEastAsia" w:eastAsiaTheme="minorEastAsia" w:cstheme="minorEastAsia"/>
                <w:color w:val="auto"/>
                <w:spacing w:val="13"/>
                <w:kern w:val="2"/>
                <w:sz w:val="21"/>
                <w:szCs w:val="21"/>
                <w:lang w:val="en-US" w:eastAsia="zh-CN" w:bidi="ar-SA"/>
              </w:rPr>
            </w:pPr>
          </w:p>
        </w:tc>
        <w:tc>
          <w:tcPr>
            <w:tcW w:w="607" w:type="dxa"/>
            <w:vMerge w:val="continue"/>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Theme="minorEastAsia" w:hAnsiTheme="minorEastAsia" w:eastAsiaTheme="minorEastAsia" w:cstheme="minorEastAsia"/>
                <w:color w:val="auto"/>
                <w:spacing w:val="13"/>
                <w:kern w:val="2"/>
                <w:sz w:val="21"/>
                <w:szCs w:val="21"/>
                <w:lang w:val="en-US" w:eastAsia="zh-CN" w:bidi="ar-SA"/>
              </w:rPr>
            </w:pPr>
          </w:p>
        </w:tc>
        <w:tc>
          <w:tcPr>
            <w:tcW w:w="4250" w:type="dxa"/>
            <w:tcMar>
              <w:top w:w="15" w:type="dxa"/>
              <w:left w:w="15" w:type="dxa"/>
              <w:bottom w:w="0" w:type="dxa"/>
              <w:right w:w="15" w:type="dxa"/>
            </w:tcMar>
            <w:vAlign w:val="center"/>
          </w:tcPr>
          <w:p>
            <w:pPr>
              <w:pageBreakBefore w:val="0"/>
              <w:widowControl w:val="0"/>
              <w:kinsoku/>
              <w:wordWrap/>
              <w:overflowPunct/>
              <w:topLinePunct w:val="0"/>
              <w:autoSpaceDE/>
              <w:autoSpaceDN/>
              <w:bidi w:val="0"/>
              <w:adjustRightInd/>
              <w:snapToGrid/>
              <w:spacing w:line="360" w:lineRule="exact"/>
              <w:ind w:firstLine="28"/>
              <w:jc w:val="left"/>
              <w:textAlignment w:val="auto"/>
              <w:rPr>
                <w:rFonts w:hint="eastAsia" w:asciiTheme="minorEastAsia" w:hAnsiTheme="minorEastAsia" w:eastAsiaTheme="minorEastAsia" w:cstheme="minorEastAsia"/>
                <w:color w:val="auto"/>
                <w:spacing w:val="13"/>
                <w:kern w:val="2"/>
                <w:sz w:val="21"/>
                <w:szCs w:val="21"/>
                <w:lang w:val="en-US" w:eastAsia="zh-CN" w:bidi="ar-SA"/>
              </w:rPr>
            </w:pPr>
            <w:r>
              <w:rPr>
                <w:rFonts w:hint="eastAsia" w:asciiTheme="minorEastAsia" w:hAnsiTheme="minorEastAsia" w:eastAsiaTheme="minorEastAsia" w:cstheme="minorEastAsia"/>
                <w:color w:val="auto"/>
                <w:spacing w:val="13"/>
                <w:kern w:val="2"/>
                <w:sz w:val="21"/>
                <w:szCs w:val="21"/>
                <w:lang w:val="en-US" w:eastAsia="zh-CN" w:bidi="ar-SA"/>
              </w:rPr>
              <w:t>3.服务承诺</w:t>
            </w:r>
          </w:p>
          <w:p>
            <w:pPr>
              <w:pageBreakBefore w:val="0"/>
              <w:widowControl w:val="0"/>
              <w:kinsoku/>
              <w:wordWrap/>
              <w:overflowPunct/>
              <w:topLinePunct w:val="0"/>
              <w:autoSpaceDE/>
              <w:autoSpaceDN/>
              <w:bidi w:val="0"/>
              <w:adjustRightInd/>
              <w:snapToGrid/>
              <w:spacing w:line="360" w:lineRule="exact"/>
              <w:ind w:firstLine="28"/>
              <w:jc w:val="left"/>
              <w:textAlignment w:val="auto"/>
              <w:rPr>
                <w:rFonts w:hint="eastAsia" w:asciiTheme="minorEastAsia" w:hAnsiTheme="minorEastAsia" w:eastAsiaTheme="minorEastAsia" w:cstheme="minorEastAsia"/>
                <w:color w:val="auto"/>
                <w:spacing w:val="13"/>
                <w:kern w:val="2"/>
                <w:sz w:val="21"/>
                <w:szCs w:val="21"/>
                <w:lang w:val="en-US" w:eastAsia="zh-CN" w:bidi="ar-SA"/>
              </w:rPr>
            </w:pPr>
            <w:r>
              <w:rPr>
                <w:rFonts w:hint="eastAsia" w:asciiTheme="minorEastAsia" w:hAnsiTheme="minorEastAsia" w:eastAsiaTheme="minorEastAsia" w:cstheme="minorEastAsia"/>
                <w:color w:val="auto"/>
                <w:spacing w:val="13"/>
                <w:kern w:val="2"/>
                <w:sz w:val="21"/>
                <w:szCs w:val="21"/>
                <w:lang w:val="en-US" w:eastAsia="zh-CN" w:bidi="ar-SA"/>
              </w:rPr>
              <w:t>包括但不限于诚信承诺、廉洁承诺、时限承诺</w:t>
            </w:r>
            <w:r>
              <w:rPr>
                <w:rFonts w:hint="eastAsia" w:asciiTheme="minorEastAsia" w:hAnsiTheme="minorEastAsia" w:cstheme="minorEastAsia"/>
                <w:color w:val="auto"/>
                <w:spacing w:val="13"/>
                <w:kern w:val="2"/>
                <w:sz w:val="21"/>
                <w:szCs w:val="21"/>
                <w:lang w:val="en-US" w:eastAsia="zh-CN" w:bidi="ar-SA"/>
              </w:rPr>
              <w:t>。</w:t>
            </w:r>
            <w:r>
              <w:rPr>
                <w:rFonts w:hint="eastAsia" w:asciiTheme="minorEastAsia" w:hAnsiTheme="minorEastAsia" w:eastAsiaTheme="minorEastAsia" w:cstheme="minorEastAsia"/>
                <w:color w:val="auto"/>
                <w:spacing w:val="13"/>
                <w:kern w:val="2"/>
                <w:sz w:val="21"/>
                <w:szCs w:val="21"/>
                <w:lang w:val="en-US" w:eastAsia="zh-CN" w:bidi="ar-SA"/>
              </w:rPr>
              <w:t>(优：</w:t>
            </w:r>
            <w:r>
              <w:rPr>
                <w:rFonts w:hint="eastAsia" w:asciiTheme="minorEastAsia" w:hAnsiTheme="minorEastAsia" w:cstheme="minorEastAsia"/>
                <w:color w:val="auto"/>
                <w:spacing w:val="13"/>
                <w:kern w:val="2"/>
                <w:sz w:val="21"/>
                <w:szCs w:val="21"/>
                <w:lang w:val="en-US" w:eastAsia="zh-CN" w:bidi="ar-SA"/>
              </w:rPr>
              <w:t>10-15</w:t>
            </w:r>
            <w:r>
              <w:rPr>
                <w:rFonts w:hint="eastAsia" w:asciiTheme="minorEastAsia" w:hAnsiTheme="minorEastAsia" w:eastAsiaTheme="minorEastAsia" w:cstheme="minorEastAsia"/>
                <w:color w:val="auto"/>
                <w:spacing w:val="13"/>
                <w:kern w:val="2"/>
                <w:sz w:val="21"/>
                <w:szCs w:val="21"/>
                <w:lang w:val="en-US" w:eastAsia="zh-CN" w:bidi="ar-SA"/>
              </w:rPr>
              <w:t>分，良：</w:t>
            </w:r>
            <w:r>
              <w:rPr>
                <w:rFonts w:hint="eastAsia" w:asciiTheme="minorEastAsia" w:hAnsiTheme="minorEastAsia" w:cstheme="minorEastAsia"/>
                <w:color w:val="auto"/>
                <w:spacing w:val="13"/>
                <w:kern w:val="2"/>
                <w:sz w:val="21"/>
                <w:szCs w:val="21"/>
                <w:lang w:val="en-US" w:eastAsia="zh-CN" w:bidi="ar-SA"/>
              </w:rPr>
              <w:t>5-9</w:t>
            </w:r>
            <w:r>
              <w:rPr>
                <w:rFonts w:hint="eastAsia" w:asciiTheme="minorEastAsia" w:hAnsiTheme="minorEastAsia" w:eastAsiaTheme="minorEastAsia" w:cstheme="minorEastAsia"/>
                <w:color w:val="auto"/>
                <w:spacing w:val="13"/>
                <w:kern w:val="2"/>
                <w:sz w:val="21"/>
                <w:szCs w:val="21"/>
                <w:lang w:val="en-US" w:eastAsia="zh-CN" w:bidi="ar-SA"/>
              </w:rPr>
              <w:t>分，差：</w:t>
            </w:r>
            <w:r>
              <w:rPr>
                <w:rFonts w:hint="eastAsia" w:asciiTheme="minorEastAsia" w:hAnsiTheme="minorEastAsia" w:cstheme="minorEastAsia"/>
                <w:color w:val="auto"/>
                <w:spacing w:val="13"/>
                <w:kern w:val="2"/>
                <w:sz w:val="21"/>
                <w:szCs w:val="21"/>
                <w:lang w:val="en-US" w:eastAsia="zh-CN" w:bidi="ar-SA"/>
              </w:rPr>
              <w:t>1-4</w:t>
            </w:r>
            <w:r>
              <w:rPr>
                <w:rFonts w:hint="eastAsia" w:asciiTheme="minorEastAsia" w:hAnsiTheme="minorEastAsia" w:eastAsiaTheme="minorEastAsia" w:cstheme="minorEastAsia"/>
                <w:color w:val="auto"/>
                <w:spacing w:val="13"/>
                <w:kern w:val="2"/>
                <w:sz w:val="21"/>
                <w:szCs w:val="21"/>
                <w:lang w:val="en-US" w:eastAsia="zh-CN" w:bidi="ar-SA"/>
              </w:rPr>
              <w:t>分)</w:t>
            </w:r>
          </w:p>
        </w:tc>
        <w:tc>
          <w:tcPr>
            <w:tcW w:w="1979" w:type="dxa"/>
            <w:vMerge w:val="continue"/>
            <w:tcMar>
              <w:top w:w="15" w:type="dxa"/>
              <w:left w:w="15" w:type="dxa"/>
              <w:bottom w:w="0" w:type="dxa"/>
              <w:right w:w="15" w:type="dxa"/>
            </w:tcMar>
            <w:vAlign w:val="center"/>
          </w:tcPr>
          <w:p>
            <w:pPr>
              <w:pageBreakBefore w:val="0"/>
              <w:widowControl w:val="0"/>
              <w:kinsoku/>
              <w:wordWrap/>
              <w:overflowPunct/>
              <w:topLinePunct w:val="0"/>
              <w:autoSpaceDE/>
              <w:autoSpaceDN/>
              <w:bidi w:val="0"/>
              <w:adjustRightInd/>
              <w:snapToGrid/>
              <w:spacing w:line="360" w:lineRule="exact"/>
              <w:ind w:firstLine="28" w:firstLineChars="0"/>
              <w:jc w:val="left"/>
              <w:textAlignment w:val="auto"/>
              <w:rPr>
                <w:rFonts w:hint="eastAsia" w:asciiTheme="minorEastAsia" w:hAnsiTheme="minorEastAsia" w:eastAsiaTheme="minorEastAsia" w:cstheme="minorEastAsia"/>
                <w:bCs/>
                <w:color w:val="auto"/>
                <w:sz w:val="21"/>
                <w:szCs w:val="21"/>
                <w:highlight w:val="none"/>
              </w:rPr>
            </w:pPr>
          </w:p>
        </w:tc>
      </w:tr>
    </w:tbl>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FF0000"/>
          <w:sz w:val="24"/>
          <w:szCs w:val="24"/>
          <w:lang w:val="en-US" w:eastAsia="zh-CN"/>
        </w:rPr>
      </w:pP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出现以下情况之一的，应重新组织采购：</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（1）出现影响采购公正的违法、违规行为的；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投标单位</w:t>
      </w:r>
      <w:r>
        <w:rPr>
          <w:rFonts w:hint="eastAsia" w:asciiTheme="minorEastAsia" w:hAnsiTheme="minorEastAsia" w:eastAsiaTheme="minorEastAsia" w:cstheme="minorEastAsia"/>
          <w:sz w:val="24"/>
          <w:szCs w:val="24"/>
        </w:rPr>
        <w:t>的报价均超过了采购预算，采购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不能支付的；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（3）因不可抗力导致重大变故，采购任务取消的。</w:t>
      </w:r>
    </w:p>
    <w:p>
      <w:pPr>
        <w:pStyle w:val="4"/>
        <w:pageBreakBefore w:val="0"/>
        <w:kinsoku/>
        <w:wordWrap/>
        <w:overflowPunct/>
        <w:topLinePunct w:val="0"/>
        <w:autoSpaceDE/>
        <w:autoSpaceDN/>
        <w:bidi w:val="0"/>
        <w:adjustRightInd/>
        <w:spacing w:line="460" w:lineRule="exact"/>
        <w:textAlignment w:val="auto"/>
        <w:rPr>
          <w:rStyle w:val="11"/>
          <w:rFonts w:hint="eastAsia"/>
          <w:lang w:val="en-US" w:eastAsia="zh-CN"/>
        </w:rPr>
      </w:pPr>
      <w:r>
        <w:rPr>
          <w:rStyle w:val="11"/>
          <w:rFonts w:hint="eastAsia"/>
          <w:lang w:val="en-US" w:eastAsia="zh-CN"/>
        </w:rPr>
        <w:t xml:space="preserve">九、采购异常低价处理 </w:t>
      </w:r>
    </w:p>
    <w:p>
      <w:pPr>
        <w:keepNext w:val="0"/>
        <w:keepLines w:val="0"/>
        <w:widowControl/>
        <w:suppressLineNumbers w:val="0"/>
        <w:ind w:firstLine="480" w:firstLineChars="200"/>
        <w:jc w:val="left"/>
      </w:pPr>
      <w:r>
        <w:rPr>
          <w:rFonts w:hint="eastAsia" w:ascii="宋体" w:hAnsi="宋体" w:eastAsia="宋体" w:cs="宋体"/>
          <w:color w:val="333333"/>
          <w:kern w:val="0"/>
          <w:sz w:val="24"/>
          <w:szCs w:val="24"/>
          <w:lang w:val="en-US" w:eastAsia="zh-CN" w:bidi="ar"/>
        </w:rPr>
        <w:t xml:space="preserve">（一）采购评审中出现下列情形之一的，应当启动异常低价投标（响应）审查程序： </w:t>
      </w:r>
    </w:p>
    <w:p>
      <w:pPr>
        <w:keepNext w:val="0"/>
        <w:keepLines w:val="0"/>
        <w:widowControl/>
        <w:suppressLineNumbers w:val="0"/>
        <w:ind w:firstLine="480" w:firstLineChars="200"/>
        <w:jc w:val="left"/>
      </w:pPr>
      <w:r>
        <w:rPr>
          <w:rFonts w:hint="eastAsia" w:ascii="宋体" w:hAnsi="宋体" w:eastAsia="宋体" w:cs="宋体"/>
          <w:color w:val="333333"/>
          <w:kern w:val="0"/>
          <w:sz w:val="24"/>
          <w:szCs w:val="24"/>
          <w:lang w:val="en-US" w:eastAsia="zh-CN" w:bidi="ar"/>
        </w:rPr>
        <w:t>1.投标（响应）报价低于全部通过符合性审查供应商投标（响应）报价平均值</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%的，即投标（响应）报价&lt;全部通过符合性审查供应商投标（响应）报价平均值×</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 xml:space="preserve">%； </w:t>
      </w:r>
    </w:p>
    <w:p>
      <w:pPr>
        <w:keepNext w:val="0"/>
        <w:keepLines w:val="0"/>
        <w:widowControl/>
        <w:suppressLineNumbers w:val="0"/>
        <w:ind w:firstLine="480" w:firstLineChars="200"/>
        <w:jc w:val="left"/>
      </w:pPr>
      <w:r>
        <w:rPr>
          <w:rFonts w:hint="eastAsia" w:ascii="宋体" w:hAnsi="宋体" w:eastAsia="宋体" w:cs="宋体"/>
          <w:color w:val="333333"/>
          <w:kern w:val="0"/>
          <w:sz w:val="24"/>
          <w:szCs w:val="24"/>
          <w:lang w:val="en-US" w:eastAsia="zh-CN" w:bidi="ar"/>
        </w:rPr>
        <w:t>2.投标（响应）报价低于通过符合性审查的次低报价供应商投标（响应）报价</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%的，即投标（响应）报价&lt;通过符合性审查的次低报价供应商投标（响应）报价×</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 xml:space="preserve">%；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  3.投标（响应）报价低于采购项目最高限价</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%的，即投标（响应）报价&lt;采购项目最高限价×</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 xml:space="preserve">%；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  4.评审</w:t>
      </w:r>
      <w:r>
        <w:rPr>
          <w:rFonts w:hint="eastAsia" w:ascii="宋体" w:hAnsi="宋体" w:cs="宋体"/>
          <w:color w:val="333333"/>
          <w:kern w:val="0"/>
          <w:sz w:val="24"/>
          <w:szCs w:val="24"/>
          <w:lang w:val="en-US" w:eastAsia="zh-CN" w:bidi="ar"/>
        </w:rPr>
        <w:t>专家</w:t>
      </w:r>
      <w:r>
        <w:rPr>
          <w:rFonts w:hint="eastAsia" w:ascii="宋体" w:hAnsi="宋体" w:eastAsia="宋体" w:cs="宋体"/>
          <w:color w:val="333333"/>
          <w:kern w:val="0"/>
          <w:sz w:val="24"/>
          <w:szCs w:val="24"/>
          <w:lang w:val="en-US" w:eastAsia="zh-CN" w:bidi="ar"/>
        </w:rPr>
        <w:t xml:space="preserve">基于专业判断，认为供应商报价过低，有可能影响产品质量或者不能诚信履约的其他情形。 </w:t>
      </w:r>
    </w:p>
    <w:p>
      <w:pPr>
        <w:keepNext w:val="0"/>
        <w:keepLines w:val="0"/>
        <w:widowControl/>
        <w:suppressLineNumbers w:val="0"/>
        <w:ind w:firstLine="480" w:firstLineChars="200"/>
        <w:jc w:val="left"/>
      </w:pPr>
      <w:r>
        <w:rPr>
          <w:rFonts w:hint="eastAsia" w:ascii="宋体" w:hAnsi="宋体" w:eastAsia="宋体" w:cs="宋体"/>
          <w:color w:val="333333"/>
          <w:kern w:val="0"/>
          <w:sz w:val="24"/>
          <w:szCs w:val="24"/>
          <w:lang w:val="en-US" w:eastAsia="zh-CN" w:bidi="ar"/>
        </w:rPr>
        <w:t>（二）评审</w:t>
      </w:r>
      <w:r>
        <w:rPr>
          <w:rFonts w:hint="eastAsia" w:ascii="宋体" w:hAnsi="宋体" w:cs="宋体"/>
          <w:color w:val="333333"/>
          <w:kern w:val="0"/>
          <w:sz w:val="24"/>
          <w:szCs w:val="24"/>
          <w:lang w:val="en-US" w:eastAsia="zh-CN" w:bidi="ar"/>
        </w:rPr>
        <w:t>专家</w:t>
      </w:r>
      <w:r>
        <w:rPr>
          <w:rFonts w:hint="eastAsia" w:ascii="宋体" w:hAnsi="宋体" w:eastAsia="宋体" w:cs="宋体"/>
          <w:color w:val="333333"/>
          <w:kern w:val="0"/>
          <w:sz w:val="24"/>
          <w:szCs w:val="24"/>
          <w:lang w:val="en-US" w:eastAsia="zh-CN" w:bidi="ar"/>
        </w:rPr>
        <w:t>启动异常低价投标（响应）审查后，属于前述第1项至第4项情形的，应当要求相关供应商在评审现场合理的时间内对投标（响应）价格作出解释</w:t>
      </w:r>
      <w:r>
        <w:rPr>
          <w:rFonts w:hint="eastAsia" w:ascii="宋体" w:hAnsi="宋体" w:cs="宋体"/>
          <w:color w:val="333333"/>
          <w:kern w:val="0"/>
          <w:sz w:val="24"/>
          <w:szCs w:val="24"/>
          <w:lang w:val="en-US" w:eastAsia="zh-CN" w:bidi="ar"/>
        </w:rPr>
        <w:t>，并</w:t>
      </w:r>
      <w:r>
        <w:rPr>
          <w:rFonts w:hint="eastAsia" w:ascii="宋体" w:hAnsi="宋体" w:eastAsia="宋体" w:cs="宋体"/>
          <w:color w:val="333333"/>
          <w:kern w:val="0"/>
          <w:sz w:val="24"/>
          <w:szCs w:val="24"/>
          <w:lang w:val="en-US" w:eastAsia="zh-CN" w:bidi="ar"/>
        </w:rPr>
        <w:t xml:space="preserve">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评审</w:t>
      </w:r>
      <w:r>
        <w:rPr>
          <w:rFonts w:hint="eastAsia" w:ascii="宋体" w:hAnsi="宋体" w:cs="宋体"/>
          <w:color w:val="333333"/>
          <w:kern w:val="0"/>
          <w:sz w:val="24"/>
          <w:szCs w:val="24"/>
          <w:lang w:val="en-US" w:eastAsia="zh-CN" w:bidi="ar"/>
        </w:rPr>
        <w:t>专家</w:t>
      </w:r>
      <w:r>
        <w:rPr>
          <w:rFonts w:hint="eastAsia" w:ascii="宋体" w:hAnsi="宋体" w:eastAsia="宋体" w:cs="宋体"/>
          <w:color w:val="333333"/>
          <w:kern w:val="0"/>
          <w:sz w:val="24"/>
          <w:szCs w:val="24"/>
          <w:lang w:val="en-US" w:eastAsia="zh-CN" w:bidi="ar"/>
        </w:rPr>
        <w:t xml:space="preserve">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pPr>
        <w:keepNext w:val="0"/>
        <w:keepLines w:val="0"/>
        <w:widowControl/>
        <w:suppressLineNumbers w:val="0"/>
        <w:ind w:firstLine="480" w:firstLineChars="200"/>
        <w:jc w:val="left"/>
        <w:rPr>
          <w:rFonts w:hint="eastAsia" w:asciiTheme="minorEastAsia" w:hAnsiTheme="minorEastAsia" w:eastAsiaTheme="minorEastAsia" w:cstheme="minorEastAsia"/>
          <w:sz w:val="24"/>
          <w:szCs w:val="24"/>
        </w:rPr>
      </w:pPr>
      <w:r>
        <w:rPr>
          <w:rFonts w:hint="eastAsia" w:ascii="宋体" w:hAnsi="宋体" w:eastAsia="宋体" w:cs="宋体"/>
          <w:color w:val="333333"/>
          <w:kern w:val="0"/>
          <w:sz w:val="24"/>
          <w:szCs w:val="24"/>
          <w:lang w:val="en-US" w:eastAsia="zh-CN" w:bidi="ar"/>
        </w:rPr>
        <w:t>采购人、采购代理机构应当为评审</w:t>
      </w:r>
      <w:r>
        <w:rPr>
          <w:rFonts w:hint="eastAsia" w:ascii="宋体" w:hAnsi="宋体" w:cs="宋体"/>
          <w:color w:val="333333"/>
          <w:kern w:val="0"/>
          <w:sz w:val="24"/>
          <w:szCs w:val="24"/>
          <w:lang w:val="en-US" w:eastAsia="zh-CN" w:bidi="ar"/>
        </w:rPr>
        <w:t>专家</w:t>
      </w:r>
      <w:r>
        <w:rPr>
          <w:rFonts w:hint="eastAsia" w:ascii="宋体" w:hAnsi="宋体" w:eastAsia="宋体" w:cs="宋体"/>
          <w:color w:val="333333"/>
          <w:kern w:val="0"/>
          <w:sz w:val="24"/>
          <w:szCs w:val="24"/>
          <w:lang w:val="en-US" w:eastAsia="zh-CN" w:bidi="ar"/>
        </w:rPr>
        <w:t>在评审现场及时获取同类项目中标（成交）价格、类似产品市场价格水平、行业人工费用标准、国家有关部门指导行业协会发布的行业平均成本等相关信息资料提供便利。评审委员会借助互联网等渠道查询相关</w:t>
      </w:r>
      <w:r>
        <w:rPr>
          <w:rFonts w:hint="eastAsia" w:ascii="宋体" w:hAnsi="宋体" w:cs="宋体"/>
          <w:color w:val="333333"/>
          <w:kern w:val="0"/>
          <w:sz w:val="24"/>
          <w:szCs w:val="24"/>
          <w:lang w:val="en-US" w:eastAsia="zh-CN" w:bidi="ar"/>
        </w:rPr>
        <w:t>信息</w:t>
      </w:r>
      <w:r>
        <w:rPr>
          <w:rFonts w:hint="eastAsia" w:ascii="宋体" w:hAnsi="宋体" w:eastAsia="宋体" w:cs="宋体"/>
          <w:color w:val="333333"/>
          <w:kern w:val="0"/>
          <w:sz w:val="24"/>
          <w:szCs w:val="24"/>
          <w:lang w:val="en-US" w:eastAsia="zh-CN" w:bidi="ar"/>
        </w:rPr>
        <w:t xml:space="preserve">的，应当严格遵守评审工作纪律，不得实施影响评审公正的行为。 </w:t>
      </w:r>
    </w:p>
    <w:p>
      <w:pPr>
        <w:pStyle w:val="4"/>
        <w:pageBreakBefore w:val="0"/>
        <w:kinsoku/>
        <w:wordWrap/>
        <w:overflowPunct/>
        <w:topLinePunct w:val="0"/>
        <w:autoSpaceDE/>
        <w:autoSpaceDN/>
        <w:bidi w:val="0"/>
        <w:adjustRightInd/>
        <w:spacing w:line="460" w:lineRule="exact"/>
        <w:textAlignment w:val="auto"/>
        <w:rPr>
          <w:rStyle w:val="11"/>
          <w:rFonts w:hint="eastAsia"/>
          <w:lang w:val="en-US" w:eastAsia="zh-CN"/>
        </w:rPr>
      </w:pPr>
      <w:bookmarkStart w:id="13" w:name="_Toc372538157"/>
      <w:bookmarkStart w:id="14" w:name="_Toc102227321"/>
      <w:bookmarkStart w:id="15" w:name="_Toc187655633"/>
      <w:r>
        <w:rPr>
          <w:rStyle w:val="11"/>
          <w:rFonts w:hint="eastAsia"/>
          <w:lang w:val="en-US" w:eastAsia="zh-CN"/>
        </w:rPr>
        <w:t>十、成交通知</w:t>
      </w:r>
      <w:bookmarkEnd w:id="13"/>
      <w:bookmarkEnd w:id="14"/>
      <w:bookmarkEnd w:id="15"/>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将以书面形式发出《</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通知书》一经发出即发生法律效力。</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通知书》将作为签订合同的依据。</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3、签订合同时，采购单位根据需要有权提出对技术条件发生变化的货物、服务或者工程作局部调整或变更数量，但需经双方共同认定。</w:t>
      </w:r>
    </w:p>
    <w:p>
      <w:pPr>
        <w:pStyle w:val="4"/>
        <w:pageBreakBefore w:val="0"/>
        <w:kinsoku/>
        <w:wordWrap/>
        <w:overflowPunct/>
        <w:topLinePunct w:val="0"/>
        <w:autoSpaceDE/>
        <w:autoSpaceDN/>
        <w:bidi w:val="0"/>
        <w:adjustRightInd/>
        <w:spacing w:line="460" w:lineRule="exact"/>
        <w:textAlignment w:val="auto"/>
        <w:rPr>
          <w:rStyle w:val="11"/>
          <w:rFonts w:hint="eastAsia"/>
          <w:lang w:val="en-US" w:eastAsia="zh-CN"/>
        </w:rPr>
      </w:pPr>
      <w:bookmarkStart w:id="16" w:name="_Toc102227322"/>
      <w:bookmarkStart w:id="17" w:name="_Toc372538158"/>
      <w:bookmarkStart w:id="18" w:name="_Toc187655634"/>
      <w:r>
        <w:rPr>
          <w:rStyle w:val="11"/>
          <w:rFonts w:hint="eastAsia"/>
          <w:lang w:val="en-US" w:eastAsia="zh-CN"/>
        </w:rPr>
        <w:t>十一、签订</w:t>
      </w:r>
      <w:bookmarkEnd w:id="16"/>
      <w:r>
        <w:rPr>
          <w:rStyle w:val="11"/>
          <w:rFonts w:hint="eastAsia"/>
          <w:lang w:val="en-US" w:eastAsia="zh-CN"/>
        </w:rPr>
        <w:t>合同</w:t>
      </w:r>
      <w:bookmarkEnd w:id="17"/>
      <w:bookmarkEnd w:id="18"/>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1、中标单位按《中标通知书》指定时间、地点与采购单位签订采购合同。</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2、本询比文件、中标单位的投标文件及有效承诺文件等，均为签订合同的依据。</w:t>
      </w:r>
    </w:p>
    <w:p>
      <w:pPr>
        <w:pStyle w:val="4"/>
        <w:pageBreakBefore w:val="0"/>
        <w:kinsoku/>
        <w:wordWrap/>
        <w:overflowPunct/>
        <w:topLinePunct w:val="0"/>
        <w:autoSpaceDE/>
        <w:autoSpaceDN/>
        <w:bidi w:val="0"/>
        <w:adjustRightInd/>
        <w:spacing w:line="460" w:lineRule="exact"/>
        <w:textAlignment w:val="auto"/>
        <w:rPr>
          <w:rStyle w:val="11"/>
          <w:rFonts w:hint="eastAsia"/>
          <w:lang w:val="en-US" w:eastAsia="zh-CN"/>
        </w:rPr>
      </w:pPr>
      <w:r>
        <w:rPr>
          <w:rStyle w:val="11"/>
          <w:rFonts w:hint="eastAsia"/>
          <w:lang w:val="en-US" w:eastAsia="zh-CN"/>
        </w:rPr>
        <w:t>十二、采购执行</w:t>
      </w:r>
    </w:p>
    <w:p>
      <w:pPr>
        <w:pageBreakBefore w:val="0"/>
        <w:kinsoku/>
        <w:wordWrap/>
        <w:overflowPunct/>
        <w:topLinePunct w:val="0"/>
        <w:autoSpaceDE/>
        <w:autoSpaceDN/>
        <w:bidi w:val="0"/>
        <w:spacing w:beforeAutospacing="0" w:afterAutospacing="0" w:line="360" w:lineRule="auto"/>
        <w:ind w:left="0" w:leftChars="0" w:right="0"/>
        <w:rPr>
          <w:rFonts w:hint="eastAsia" w:ascii="宋体" w:hAnsi="宋体" w:cs="Arial"/>
          <w:color w:val="auto"/>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宋体" w:hAnsi="宋体" w:cs="Arial"/>
          <w:color w:val="auto"/>
          <w:sz w:val="24"/>
          <w:szCs w:val="24"/>
          <w:lang w:val="en-US" w:eastAsia="zh-CN"/>
        </w:rPr>
        <w:t>1、投标单位中标后，应按照本</w:t>
      </w:r>
      <w:r>
        <w:rPr>
          <w:rFonts w:hint="eastAsia" w:ascii="宋体" w:hAnsi="宋体" w:cs="Arial"/>
          <w:color w:val="auto"/>
          <w:sz w:val="24"/>
          <w:szCs w:val="24"/>
        </w:rPr>
        <w:t>询</w:t>
      </w:r>
      <w:r>
        <w:rPr>
          <w:rFonts w:hint="eastAsia" w:ascii="宋体" w:hAnsi="宋体" w:cs="Arial"/>
          <w:color w:val="auto"/>
          <w:sz w:val="24"/>
          <w:szCs w:val="24"/>
          <w:lang w:eastAsia="zh-CN"/>
        </w:rPr>
        <w:t>比</w:t>
      </w:r>
      <w:r>
        <w:rPr>
          <w:rFonts w:hint="eastAsia" w:ascii="宋体" w:hAnsi="宋体" w:cs="Arial"/>
          <w:color w:val="auto"/>
          <w:sz w:val="24"/>
          <w:szCs w:val="24"/>
          <w:lang w:val="en-US" w:eastAsia="zh-CN"/>
        </w:rPr>
        <w:t>文件要求在中标通知书发出之日起30日内和采购单位签订合同，保质保量完成采购任务；</w:t>
      </w:r>
    </w:p>
    <w:p>
      <w:pPr>
        <w:pageBreakBefore w:val="0"/>
        <w:kinsoku/>
        <w:wordWrap/>
        <w:overflowPunct/>
        <w:topLinePunct w:val="0"/>
        <w:autoSpaceDE/>
        <w:autoSpaceDN/>
        <w:bidi w:val="0"/>
        <w:spacing w:beforeAutospacing="0" w:afterAutospacing="0" w:line="360" w:lineRule="auto"/>
        <w:ind w:left="0" w:leftChars="0" w:right="0"/>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 xml:space="preserve">   2、本</w:t>
      </w:r>
      <w:r>
        <w:rPr>
          <w:rFonts w:hint="eastAsia" w:ascii="宋体" w:hAnsi="宋体" w:cs="Arial"/>
          <w:color w:val="auto"/>
          <w:sz w:val="24"/>
          <w:szCs w:val="24"/>
        </w:rPr>
        <w:t>询</w:t>
      </w:r>
      <w:r>
        <w:rPr>
          <w:rFonts w:hint="eastAsia" w:ascii="宋体" w:hAnsi="宋体" w:cs="Arial"/>
          <w:color w:val="auto"/>
          <w:sz w:val="24"/>
          <w:szCs w:val="24"/>
          <w:lang w:eastAsia="zh-CN"/>
        </w:rPr>
        <w:t>比</w:t>
      </w:r>
      <w:r>
        <w:rPr>
          <w:rFonts w:hint="eastAsia" w:ascii="宋体" w:hAnsi="宋体" w:cs="Arial"/>
          <w:color w:val="auto"/>
          <w:sz w:val="24"/>
          <w:szCs w:val="24"/>
          <w:lang w:val="en-US" w:eastAsia="zh-CN"/>
        </w:rPr>
        <w:t>文件中未提到的采购内容或者采购内容局部调整，双方本着公平公正的原则友好协商解决；</w:t>
      </w:r>
    </w:p>
    <w:p>
      <w:pPr>
        <w:pageBreakBefore w:val="0"/>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cs="Arial"/>
          <w:color w:val="auto"/>
          <w:sz w:val="24"/>
          <w:szCs w:val="24"/>
          <w:lang w:val="en-US" w:eastAsia="zh-CN"/>
        </w:rPr>
      </w:pPr>
      <w:r>
        <w:rPr>
          <w:rFonts w:hint="eastAsia" w:asciiTheme="minorEastAsia" w:hAnsiTheme="minorEastAsia" w:eastAsiaTheme="minorEastAsia" w:cstheme="minorEastAsia"/>
          <w:sz w:val="24"/>
          <w:szCs w:val="24"/>
        </w:rPr>
        <w:t>3、投标单位中标后因自身原因不能按时保质保量完成采购任务</w:t>
      </w:r>
      <w:r>
        <w:rPr>
          <w:rFonts w:hint="eastAsia" w:asciiTheme="minorEastAsia" w:hAnsiTheme="minorEastAsia" w:cstheme="minorEastAsia"/>
          <w:sz w:val="24"/>
          <w:szCs w:val="24"/>
          <w:lang w:eastAsia="zh-CN"/>
        </w:rPr>
        <w:t>，</w:t>
      </w:r>
      <w:r>
        <w:rPr>
          <w:rFonts w:hint="eastAsia" w:ascii="宋体" w:hAnsi="宋体" w:cs="Arial"/>
          <w:sz w:val="24"/>
          <w:szCs w:val="24"/>
          <w:lang w:val="en-US" w:eastAsia="zh-CN"/>
        </w:rPr>
        <w:t>采购单位有权要求中标单位赔偿全部损失。</w:t>
      </w: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宋体" w:hAnsi="宋体" w:cs="Arial"/>
          <w:sz w:val="24"/>
          <w:szCs w:val="24"/>
          <w:lang w:val="en-US" w:eastAsia="zh-CN"/>
        </w:rPr>
      </w:pPr>
      <w:r>
        <w:rPr>
          <w:rFonts w:hint="eastAsia" w:asciiTheme="minorEastAsia" w:hAnsiTheme="minorEastAsia" w:eastAsiaTheme="minorEastAsia" w:cstheme="minorEastAsia"/>
          <w:sz w:val="24"/>
          <w:szCs w:val="24"/>
        </w:rPr>
        <w:t xml:space="preserve">      </w:t>
      </w: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pStyle w:val="3"/>
        <w:jc w:val="center"/>
        <w:rPr>
          <w:rStyle w:val="11"/>
          <w:rFonts w:hint="eastAsia" w:ascii="Arial" w:hAnsi="Arial" w:eastAsia="黑体" w:cstheme="minorBidi"/>
          <w:b/>
          <w:color w:val="auto"/>
          <w:kern w:val="2"/>
          <w:sz w:val="32"/>
          <w:szCs w:val="22"/>
          <w:lang w:val="en-US" w:eastAsia="zh-CN" w:bidi="ar-SA"/>
        </w:rPr>
      </w:pPr>
      <w:bookmarkStart w:id="19" w:name="_Toc11641054"/>
      <w:bookmarkStart w:id="20" w:name="_Toc372538159"/>
      <w:bookmarkStart w:id="21" w:name="_Toc25725122"/>
      <w:r>
        <w:rPr>
          <w:rStyle w:val="11"/>
          <w:rFonts w:hint="eastAsia" w:ascii="Arial" w:hAnsi="Arial" w:eastAsia="黑体" w:cstheme="minorBidi"/>
          <w:b/>
          <w:color w:val="auto"/>
          <w:kern w:val="2"/>
          <w:sz w:val="32"/>
          <w:szCs w:val="22"/>
          <w:lang w:val="en-US" w:eastAsia="zh-CN" w:bidi="ar-SA"/>
        </w:rPr>
        <w:t>第三篇  采购项目内容及技术要求</w:t>
      </w:r>
      <w:bookmarkEnd w:id="19"/>
      <w:bookmarkEnd w:id="20"/>
      <w:bookmarkEnd w:id="21"/>
    </w:p>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color w:val="auto"/>
          <w:sz w:val="24"/>
          <w:szCs w:val="24"/>
        </w:rPr>
      </w:pPr>
      <w:r>
        <w:rPr>
          <w:rFonts w:hint="eastAsia"/>
          <w:color w:val="auto"/>
          <w:lang w:val="en-US" w:eastAsia="zh-CN"/>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重馆庆中国三峡博物（采购单位）位于重庆市渝中区人民路236号，系国家一级博物馆，三峡文物科技保护基地为采购单位场馆之一。现采购三峡文物科技保护基地公共服务提升项目概念实施方案编制服务。</w:t>
      </w:r>
    </w:p>
    <w:p>
      <w:pPr>
        <w:keepNext w:val="0"/>
        <w:keepLines w:val="0"/>
        <w:pageBreakBefore w:val="0"/>
        <w:kinsoku/>
        <w:wordWrap/>
        <w:overflowPunct/>
        <w:topLinePunct w:val="0"/>
        <w:autoSpaceDE/>
        <w:autoSpaceDN/>
        <w:bidi w:val="0"/>
        <w:adjustRightInd/>
        <w:snapToGrid/>
        <w:spacing w:line="460" w:lineRule="exact"/>
        <w:rPr>
          <w:rStyle w:val="11"/>
          <w:rFonts w:hint="eastAsia" w:eastAsia="宋体" w:asciiTheme="minorHAnsi" w:hAnsiTheme="minorHAnsi" w:cstheme="minorBidi"/>
          <w:b/>
          <w:color w:val="auto"/>
          <w:kern w:val="2"/>
          <w:sz w:val="32"/>
          <w:szCs w:val="22"/>
          <w:lang w:val="en-US" w:eastAsia="zh-CN" w:bidi="ar-SA"/>
        </w:rPr>
      </w:pPr>
      <w:r>
        <w:rPr>
          <w:rStyle w:val="11"/>
          <w:rFonts w:hint="eastAsia" w:eastAsia="宋体" w:asciiTheme="minorHAnsi" w:hAnsiTheme="minorHAnsi" w:cstheme="minorBidi"/>
          <w:b/>
          <w:color w:val="auto"/>
          <w:kern w:val="2"/>
          <w:sz w:val="32"/>
          <w:szCs w:val="22"/>
          <w:lang w:val="en-US" w:eastAsia="zh-CN" w:bidi="ar-SA"/>
        </w:rPr>
        <w:t>一、投标单位要求</w:t>
      </w:r>
    </w:p>
    <w:p>
      <w:pPr>
        <w:keepNext w:val="0"/>
        <w:keepLines w:val="0"/>
        <w:widowControl w:val="0"/>
        <w:suppressLineNumbers w:val="0"/>
        <w:autoSpaceDE w:val="0"/>
        <w:autoSpaceDN/>
        <w:snapToGrid w:val="0"/>
        <w:spacing w:before="0" w:beforeAutospacing="0" w:after="0" w:afterAutospacing="0" w:line="530" w:lineRule="exact"/>
        <w:ind w:right="0" w:firstLine="480" w:firstLineChars="200"/>
        <w:jc w:val="both"/>
        <w:rPr>
          <w:rFonts w:hint="eastAsia" w:ascii="宋体" w:hAnsi="宋体" w:eastAsia="宋体" w:cs="Arial"/>
          <w:color w:val="auto"/>
          <w:kern w:val="2"/>
          <w:sz w:val="24"/>
          <w:szCs w:val="24"/>
        </w:rPr>
      </w:pPr>
      <w:r>
        <w:rPr>
          <w:rFonts w:hint="eastAsia" w:ascii="宋体" w:hAnsi="宋体" w:eastAsia="宋体" w:cs="宋体"/>
          <w:color w:val="auto"/>
          <w:kern w:val="2"/>
          <w:sz w:val="24"/>
          <w:szCs w:val="24"/>
          <w:lang w:val="en-US" w:eastAsia="zh-CN" w:bidi="ar"/>
        </w:rPr>
        <w:t>参与投标的供应商是指向采购单位提供货物、工程或者服务的法人、其他组织或者自然人，简称供应商或投标单位。</w:t>
      </w:r>
    </w:p>
    <w:p>
      <w:pPr>
        <w:keepNext w:val="0"/>
        <w:keepLines w:val="0"/>
        <w:widowControl w:val="0"/>
        <w:suppressLineNumbers w:val="0"/>
        <w:autoSpaceDE w:val="0"/>
        <w:autoSpaceDN/>
        <w:snapToGrid w:val="0"/>
        <w:spacing w:before="0" w:beforeAutospacing="0" w:after="0" w:afterAutospacing="0" w:line="530" w:lineRule="exact"/>
        <w:ind w:right="0" w:firstLine="480" w:firstLineChars="200"/>
        <w:jc w:val="both"/>
        <w:rPr>
          <w:rFonts w:hint="eastAsia" w:ascii="宋体" w:hAnsi="宋体" w:eastAsia="宋体" w:cs="Arial"/>
          <w:color w:val="auto"/>
          <w:kern w:val="2"/>
          <w:sz w:val="24"/>
          <w:szCs w:val="24"/>
        </w:rPr>
      </w:pPr>
      <w:r>
        <w:rPr>
          <w:rFonts w:hint="eastAsia" w:ascii="宋体" w:hAnsi="宋体" w:eastAsia="宋体" w:cs="宋体"/>
          <w:color w:val="auto"/>
          <w:kern w:val="2"/>
          <w:sz w:val="24"/>
          <w:szCs w:val="24"/>
          <w:lang w:val="en-US" w:eastAsia="zh-CN" w:bidi="ar"/>
        </w:rPr>
        <w:t>合格的投标单位应符合下列资格条件：</w:t>
      </w:r>
    </w:p>
    <w:p>
      <w:pPr>
        <w:keepNext w:val="0"/>
        <w:keepLines w:val="0"/>
        <w:widowControl w:val="0"/>
        <w:suppressLineNumbers w:val="0"/>
        <w:autoSpaceDE w:val="0"/>
        <w:autoSpaceDN/>
        <w:snapToGrid w:val="0"/>
        <w:spacing w:before="0" w:beforeAutospacing="0" w:after="0" w:afterAutospacing="0" w:line="530" w:lineRule="exact"/>
        <w:ind w:right="0" w:firstLine="480" w:firstLineChars="200"/>
        <w:jc w:val="both"/>
        <w:rPr>
          <w:rFonts w:hint="eastAsia" w:ascii="方正楷体_GBK" w:hAnsi="方正楷体_GBK" w:eastAsia="方正楷体_GBK" w:cs="方正楷体_GBK"/>
          <w:color w:val="auto"/>
          <w:kern w:val="2"/>
          <w:sz w:val="24"/>
          <w:szCs w:val="24"/>
        </w:rPr>
      </w:pPr>
      <w:r>
        <w:rPr>
          <w:rFonts w:hint="eastAsia" w:ascii="方正楷体_GBK" w:hAnsi="方正楷体_GBK" w:eastAsia="方正楷体_GBK" w:cs="方正楷体_GBK"/>
          <w:color w:val="auto"/>
          <w:kern w:val="2"/>
          <w:sz w:val="24"/>
          <w:szCs w:val="24"/>
          <w:lang w:val="en-US" w:eastAsia="zh-CN" w:bidi="ar"/>
        </w:rPr>
        <w:t>（一）基本资格条件：</w:t>
      </w:r>
    </w:p>
    <w:p>
      <w:pPr>
        <w:pStyle w:val="5"/>
        <w:keepNext w:val="0"/>
        <w:keepLines w:val="0"/>
        <w:widowControl w:val="0"/>
        <w:suppressLineNumbers w:val="0"/>
        <w:autoSpaceDE w:val="0"/>
        <w:autoSpaceDN/>
        <w:spacing w:line="530" w:lineRule="exact"/>
        <w:ind w:right="0" w:firstLine="480" w:firstLineChars="200"/>
        <w:jc w:val="both"/>
        <w:rPr>
          <w:rFonts w:hint="eastAsia" w:ascii="宋体" w:hAnsi="宋体" w:eastAsia="宋体" w:cs="Arial"/>
          <w:color w:val="auto"/>
          <w:kern w:val="2"/>
          <w:sz w:val="24"/>
          <w:szCs w:val="24"/>
        </w:rPr>
      </w:pPr>
      <w:r>
        <w:rPr>
          <w:rFonts w:hint="eastAsia" w:ascii="宋体" w:hAnsi="宋体" w:eastAsia="宋体" w:cs="Arial"/>
          <w:color w:val="auto"/>
          <w:kern w:val="2"/>
          <w:sz w:val="24"/>
          <w:szCs w:val="24"/>
        </w:rPr>
        <w:t>1.具有独立承担民事责任的能力；</w:t>
      </w:r>
    </w:p>
    <w:p>
      <w:pPr>
        <w:pStyle w:val="5"/>
        <w:keepNext w:val="0"/>
        <w:keepLines w:val="0"/>
        <w:widowControl w:val="0"/>
        <w:suppressLineNumbers w:val="0"/>
        <w:autoSpaceDE w:val="0"/>
        <w:autoSpaceDN/>
        <w:spacing w:line="530" w:lineRule="exact"/>
        <w:ind w:right="0" w:firstLine="480" w:firstLineChars="200"/>
        <w:jc w:val="both"/>
        <w:rPr>
          <w:rFonts w:hint="eastAsia" w:ascii="宋体" w:hAnsi="宋体" w:eastAsia="宋体" w:cs="Arial"/>
          <w:color w:val="auto"/>
          <w:kern w:val="2"/>
          <w:sz w:val="24"/>
          <w:szCs w:val="24"/>
        </w:rPr>
      </w:pPr>
      <w:r>
        <w:rPr>
          <w:rFonts w:hint="eastAsia" w:ascii="宋体" w:hAnsi="宋体" w:eastAsia="宋体" w:cs="Arial"/>
          <w:color w:val="auto"/>
          <w:kern w:val="2"/>
          <w:sz w:val="24"/>
          <w:szCs w:val="24"/>
        </w:rPr>
        <w:t xml:space="preserve">2.具有良好的商业信誉和健全的财务会计制度； </w:t>
      </w:r>
    </w:p>
    <w:p>
      <w:pPr>
        <w:pStyle w:val="5"/>
        <w:keepNext w:val="0"/>
        <w:keepLines w:val="0"/>
        <w:widowControl w:val="0"/>
        <w:suppressLineNumbers w:val="0"/>
        <w:autoSpaceDE w:val="0"/>
        <w:autoSpaceDN/>
        <w:spacing w:line="530" w:lineRule="exact"/>
        <w:ind w:right="0" w:firstLine="480" w:firstLineChars="200"/>
        <w:jc w:val="both"/>
        <w:rPr>
          <w:rFonts w:hint="eastAsia" w:ascii="宋体" w:hAnsi="宋体" w:eastAsia="宋体" w:cs="Arial"/>
          <w:color w:val="auto"/>
          <w:kern w:val="2"/>
          <w:sz w:val="24"/>
          <w:szCs w:val="24"/>
        </w:rPr>
      </w:pPr>
      <w:r>
        <w:rPr>
          <w:rFonts w:hint="eastAsia" w:ascii="宋体" w:hAnsi="宋体" w:eastAsia="宋体" w:cs="Arial"/>
          <w:color w:val="auto"/>
          <w:kern w:val="2"/>
          <w:sz w:val="24"/>
          <w:szCs w:val="24"/>
        </w:rPr>
        <w:t>3.具有履行合同所必需的设备和专业技术能力；</w:t>
      </w:r>
    </w:p>
    <w:p>
      <w:pPr>
        <w:pStyle w:val="5"/>
        <w:keepNext w:val="0"/>
        <w:keepLines w:val="0"/>
        <w:widowControl w:val="0"/>
        <w:suppressLineNumbers w:val="0"/>
        <w:autoSpaceDE w:val="0"/>
        <w:autoSpaceDN/>
        <w:spacing w:line="530" w:lineRule="exact"/>
        <w:ind w:right="0" w:firstLine="480" w:firstLineChars="200"/>
        <w:jc w:val="both"/>
        <w:rPr>
          <w:rFonts w:hint="eastAsia" w:ascii="宋体" w:hAnsi="宋体" w:eastAsia="宋体" w:cs="Arial"/>
          <w:color w:val="auto"/>
          <w:kern w:val="2"/>
          <w:sz w:val="24"/>
          <w:szCs w:val="24"/>
        </w:rPr>
      </w:pPr>
      <w:r>
        <w:rPr>
          <w:rFonts w:hint="eastAsia" w:ascii="宋体" w:hAnsi="宋体" w:eastAsia="宋体" w:cs="Arial"/>
          <w:color w:val="auto"/>
          <w:kern w:val="2"/>
          <w:sz w:val="24"/>
          <w:szCs w:val="24"/>
        </w:rPr>
        <w:t>4.有依法缴纳税收和社会保障资金的良好记录；</w:t>
      </w:r>
    </w:p>
    <w:p>
      <w:pPr>
        <w:pStyle w:val="5"/>
        <w:keepNext w:val="0"/>
        <w:keepLines w:val="0"/>
        <w:widowControl w:val="0"/>
        <w:suppressLineNumbers w:val="0"/>
        <w:autoSpaceDE w:val="0"/>
        <w:autoSpaceDN/>
        <w:spacing w:line="530" w:lineRule="exact"/>
        <w:ind w:right="0" w:firstLine="480" w:firstLineChars="200"/>
        <w:jc w:val="both"/>
        <w:rPr>
          <w:rFonts w:hint="eastAsia" w:ascii="宋体" w:hAnsi="宋体" w:eastAsia="宋体" w:cs="Arial"/>
          <w:color w:val="auto"/>
          <w:kern w:val="2"/>
          <w:sz w:val="24"/>
          <w:szCs w:val="24"/>
        </w:rPr>
      </w:pPr>
      <w:r>
        <w:rPr>
          <w:rFonts w:hint="eastAsia" w:ascii="宋体" w:hAnsi="宋体" w:eastAsia="宋体" w:cs="Arial"/>
          <w:color w:val="auto"/>
          <w:kern w:val="2"/>
          <w:sz w:val="24"/>
          <w:szCs w:val="24"/>
        </w:rPr>
        <w:t>5.参加政府采购活动前三年内，在经营活动中没有重大违法记录；</w:t>
      </w:r>
    </w:p>
    <w:p>
      <w:pPr>
        <w:pStyle w:val="5"/>
        <w:keepNext w:val="0"/>
        <w:keepLines w:val="0"/>
        <w:widowControl w:val="0"/>
        <w:suppressLineNumbers w:val="0"/>
        <w:autoSpaceDE w:val="0"/>
        <w:autoSpaceDN/>
        <w:spacing w:line="530" w:lineRule="exact"/>
        <w:ind w:right="0" w:firstLine="480" w:firstLineChars="200"/>
        <w:jc w:val="both"/>
        <w:rPr>
          <w:rFonts w:hint="eastAsia" w:ascii="宋体" w:hAnsi="宋体" w:eastAsia="宋体" w:cs="Arial"/>
          <w:color w:val="auto"/>
          <w:kern w:val="2"/>
          <w:sz w:val="24"/>
          <w:szCs w:val="24"/>
        </w:rPr>
      </w:pPr>
      <w:r>
        <w:rPr>
          <w:rFonts w:hint="eastAsia" w:ascii="宋体" w:hAnsi="宋体" w:eastAsia="宋体" w:cs="Arial"/>
          <w:color w:val="auto"/>
          <w:kern w:val="2"/>
          <w:sz w:val="24"/>
          <w:szCs w:val="24"/>
        </w:rPr>
        <w:t>6.法律、行政法规规定的其他条件。</w:t>
      </w:r>
    </w:p>
    <w:p>
      <w:pPr>
        <w:keepNext w:val="0"/>
        <w:keepLines w:val="0"/>
        <w:widowControl w:val="0"/>
        <w:suppressLineNumbers w:val="0"/>
        <w:autoSpaceDE w:val="0"/>
        <w:autoSpaceDN/>
        <w:snapToGrid w:val="0"/>
        <w:spacing w:before="0" w:beforeAutospacing="0" w:after="0" w:afterAutospacing="0" w:line="530" w:lineRule="exact"/>
        <w:ind w:right="0" w:firstLine="480" w:firstLineChars="200"/>
        <w:jc w:val="both"/>
        <w:rPr>
          <w:rFonts w:hint="eastAsia" w:ascii="方正楷体_GBK" w:hAnsi="方正楷体_GBK" w:eastAsia="方正楷体_GBK" w:cs="方正楷体_GBK"/>
          <w:color w:val="auto"/>
          <w:kern w:val="2"/>
          <w:sz w:val="24"/>
          <w:szCs w:val="24"/>
        </w:rPr>
      </w:pPr>
      <w:r>
        <w:rPr>
          <w:rFonts w:hint="eastAsia" w:ascii="方正楷体_GBK" w:hAnsi="方正楷体_GBK" w:eastAsia="方正楷体_GBK" w:cs="方正楷体_GBK"/>
          <w:color w:val="auto"/>
          <w:kern w:val="2"/>
          <w:sz w:val="24"/>
          <w:szCs w:val="24"/>
          <w:lang w:val="en-US" w:eastAsia="zh-CN" w:bidi="ar"/>
        </w:rPr>
        <w:t>（二）特定资格条件：</w:t>
      </w:r>
    </w:p>
    <w:p>
      <w:pPr>
        <w:keepNext w:val="0"/>
        <w:keepLines w:val="0"/>
        <w:widowControl w:val="0"/>
        <w:suppressLineNumbers w:val="0"/>
        <w:autoSpaceDE w:val="0"/>
        <w:autoSpaceDN/>
        <w:spacing w:before="0" w:beforeAutospacing="0" w:after="0" w:afterAutospacing="0" w:line="440" w:lineRule="exact"/>
        <w:ind w:right="0" w:firstLine="480" w:firstLineChars="200"/>
        <w:jc w:val="both"/>
        <w:rPr>
          <w:rFonts w:hint="eastAsia" w:ascii="宋体" w:hAnsi="宋体" w:eastAsia="宋体" w:cs="Arial"/>
          <w:color w:val="auto"/>
          <w:kern w:val="2"/>
          <w:sz w:val="24"/>
          <w:szCs w:val="24"/>
          <w:highlight w:val="none"/>
        </w:rPr>
      </w:pPr>
      <w:r>
        <w:rPr>
          <w:rFonts w:hint="eastAsia" w:ascii="宋体" w:hAnsi="宋体" w:eastAsia="宋体" w:cs="Arial"/>
          <w:color w:val="auto"/>
          <w:kern w:val="2"/>
          <w:sz w:val="24"/>
          <w:szCs w:val="24"/>
          <w:highlight w:val="none"/>
          <w:lang w:val="en-US" w:eastAsia="zh-CN" w:bidi="ar"/>
        </w:rPr>
        <w:t>1.工程咨询单位乙级</w:t>
      </w:r>
      <w:r>
        <w:rPr>
          <w:rFonts w:hint="eastAsia" w:ascii="宋体" w:hAnsi="宋体" w:eastAsia="宋体" w:cs="宋体"/>
          <w:color w:val="auto"/>
          <w:kern w:val="2"/>
          <w:sz w:val="24"/>
          <w:szCs w:val="24"/>
          <w:highlight w:val="none"/>
          <w:lang w:val="en-US" w:eastAsia="zh-CN" w:bidi="ar"/>
        </w:rPr>
        <w:t>及以上咨信证书（专业资信），提供证书复印件加盖供应商公章；</w:t>
      </w:r>
    </w:p>
    <w:p>
      <w:pPr>
        <w:pStyle w:val="5"/>
        <w:keepNext w:val="0"/>
        <w:keepLines w:val="0"/>
        <w:widowControl w:val="0"/>
        <w:suppressLineNumbers w:val="0"/>
        <w:autoSpaceDE w:val="0"/>
        <w:autoSpaceDN/>
        <w:spacing w:line="530" w:lineRule="exact"/>
        <w:ind w:right="0" w:firstLine="480" w:firstLineChars="200"/>
        <w:jc w:val="both"/>
        <w:rPr>
          <w:rFonts w:hint="eastAsia" w:ascii="宋体" w:hAnsi="宋体" w:eastAsia="宋体" w:cs="Arial"/>
          <w:color w:val="auto"/>
          <w:kern w:val="2"/>
          <w:sz w:val="24"/>
          <w:szCs w:val="24"/>
          <w:highlight w:val="none"/>
        </w:rPr>
      </w:pPr>
      <w:r>
        <w:rPr>
          <w:rFonts w:hint="eastAsia" w:ascii="宋体" w:hAnsi="宋体" w:eastAsia="宋体" w:cs="Arial"/>
          <w:color w:val="auto"/>
          <w:kern w:val="2"/>
          <w:sz w:val="24"/>
          <w:szCs w:val="24"/>
          <w:highlight w:val="none"/>
        </w:rPr>
        <w:t xml:space="preserve">2.本次招标不接受联合体投标。 </w:t>
      </w:r>
    </w:p>
    <w:p>
      <w:pPr>
        <w:keepNext w:val="0"/>
        <w:keepLines w:val="0"/>
        <w:widowControl w:val="0"/>
        <w:suppressLineNumbers w:val="0"/>
        <w:autoSpaceDE w:val="0"/>
        <w:autoSpaceDN/>
        <w:snapToGrid w:val="0"/>
        <w:spacing w:before="0" w:beforeAutospacing="0" w:after="0" w:afterAutospacing="0" w:line="530" w:lineRule="exact"/>
        <w:ind w:right="0" w:firstLine="480" w:firstLineChars="200"/>
        <w:jc w:val="both"/>
        <w:rPr>
          <w:rFonts w:hint="eastAsia" w:ascii="方正楷体_GBK" w:hAnsi="方正楷体_GBK" w:eastAsia="方正楷体_GBK" w:cs="方正楷体_GBK"/>
          <w:color w:val="auto"/>
          <w:kern w:val="2"/>
          <w:sz w:val="24"/>
          <w:szCs w:val="24"/>
          <w:highlight w:val="none"/>
        </w:rPr>
      </w:pPr>
      <w:r>
        <w:rPr>
          <w:rFonts w:hint="eastAsia" w:ascii="方正楷体_GBK" w:hAnsi="方正楷体_GBK" w:eastAsia="方正楷体_GBK" w:cs="方正楷体_GBK"/>
          <w:color w:val="auto"/>
          <w:kern w:val="2"/>
          <w:sz w:val="24"/>
          <w:szCs w:val="24"/>
          <w:highlight w:val="none"/>
          <w:lang w:val="en-US" w:eastAsia="zh-CN" w:bidi="ar"/>
        </w:rPr>
        <w:t>（三）业绩：</w:t>
      </w:r>
    </w:p>
    <w:p>
      <w:pPr>
        <w:keepNext w:val="0"/>
        <w:keepLines w:val="0"/>
        <w:widowControl w:val="0"/>
        <w:suppressLineNumbers w:val="0"/>
        <w:autoSpaceDE w:val="0"/>
        <w:autoSpaceDN/>
        <w:snapToGrid w:val="0"/>
        <w:spacing w:before="0" w:beforeAutospacing="0" w:after="0" w:afterAutospacing="0" w:line="530" w:lineRule="exact"/>
        <w:ind w:right="0"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2"/>
          <w:sz w:val="24"/>
          <w:szCs w:val="24"/>
          <w:highlight w:val="none"/>
          <w:lang w:val="en-US" w:eastAsia="zh-CN" w:bidi="ar"/>
        </w:rPr>
        <w:t>投标单位自</w:t>
      </w:r>
      <w:r>
        <w:rPr>
          <w:rFonts w:hint="eastAsia" w:ascii="宋体" w:hAnsi="宋体" w:eastAsia="宋体" w:cs="Arial"/>
          <w:color w:val="auto"/>
          <w:kern w:val="2"/>
          <w:sz w:val="24"/>
          <w:szCs w:val="24"/>
          <w:highlight w:val="none"/>
          <w:lang w:val="en-US" w:eastAsia="zh-CN" w:bidi="ar"/>
        </w:rPr>
        <w:t>2023</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Arial"/>
          <w:color w:val="auto"/>
          <w:kern w:val="2"/>
          <w:sz w:val="24"/>
          <w:szCs w:val="24"/>
          <w:highlight w:val="none"/>
          <w:lang w:val="en-US" w:eastAsia="zh-CN" w:bidi="ar"/>
        </w:rPr>
        <w:t>1月1日起</w:t>
      </w:r>
      <w:r>
        <w:rPr>
          <w:rFonts w:hint="eastAsia" w:ascii="宋体" w:hAnsi="宋体" w:eastAsia="宋体" w:cs="宋体"/>
          <w:color w:val="auto"/>
          <w:kern w:val="2"/>
          <w:sz w:val="24"/>
          <w:szCs w:val="24"/>
          <w:highlight w:val="none"/>
          <w:lang w:val="en-US" w:eastAsia="zh-CN" w:bidi="ar"/>
        </w:rPr>
        <w:t>承接类似概念实施方案编制项目</w:t>
      </w:r>
      <w:bookmarkStart w:id="41" w:name="_GoBack"/>
      <w:bookmarkEnd w:id="41"/>
      <w:r>
        <w:rPr>
          <w:rFonts w:hint="eastAsia" w:ascii="宋体" w:hAnsi="宋体" w:eastAsia="宋体" w:cs="宋体"/>
          <w:color w:val="auto"/>
          <w:kern w:val="2"/>
          <w:sz w:val="24"/>
          <w:szCs w:val="24"/>
          <w:highlight w:val="none"/>
          <w:lang w:val="en-US" w:eastAsia="zh-CN" w:bidi="ar"/>
        </w:rPr>
        <w:t>至少</w:t>
      </w:r>
      <w:r>
        <w:rPr>
          <w:rFonts w:hint="eastAsia" w:ascii="宋体" w:hAnsi="宋体" w:eastAsia="宋体" w:cs="Arial"/>
          <w:color w:val="auto"/>
          <w:kern w:val="2"/>
          <w:sz w:val="24"/>
          <w:szCs w:val="24"/>
          <w:highlight w:val="none"/>
          <w:lang w:val="en-US" w:eastAsia="zh-CN" w:bidi="ar"/>
        </w:rPr>
        <w:t>1个(供应商提供合同复印件或扫描件加盖供应商公章)。</w:t>
      </w:r>
    </w:p>
    <w:p>
      <w:pPr>
        <w:pageBreakBefore w:val="0"/>
        <w:widowControl w:val="0"/>
        <w:kinsoku/>
        <w:wordWrap/>
        <w:overflowPunct/>
        <w:topLinePunct w:val="0"/>
        <w:autoSpaceDE/>
        <w:autoSpaceDN/>
        <w:bidi w:val="0"/>
        <w:adjustRightInd/>
        <w:spacing w:line="530" w:lineRule="exact"/>
        <w:textAlignment w:val="auto"/>
        <w:rPr>
          <w:rStyle w:val="11"/>
          <w:rFonts w:hint="default" w:eastAsia="宋体" w:asciiTheme="minorHAnsi" w:hAnsiTheme="minorHAnsi" w:cstheme="minorBidi"/>
          <w:b/>
          <w:color w:val="auto"/>
          <w:kern w:val="2"/>
          <w:sz w:val="32"/>
          <w:szCs w:val="22"/>
          <w:lang w:val="en-US" w:eastAsia="zh-CN" w:bidi="ar-SA"/>
        </w:rPr>
      </w:pPr>
      <w:r>
        <w:rPr>
          <w:rStyle w:val="11"/>
          <w:rFonts w:hint="eastAsia" w:eastAsia="宋体" w:asciiTheme="minorHAnsi" w:hAnsiTheme="minorHAnsi" w:cstheme="minorBidi"/>
          <w:b/>
          <w:color w:val="auto"/>
          <w:kern w:val="2"/>
          <w:sz w:val="32"/>
          <w:szCs w:val="22"/>
          <w:lang w:val="en-US" w:eastAsia="zh-CN" w:bidi="ar-SA"/>
        </w:rPr>
        <w:t>二、 采购项目内容</w:t>
      </w:r>
    </w:p>
    <w:p>
      <w:pPr>
        <w:pageBreakBefore w:val="0"/>
        <w:widowControl w:val="0"/>
        <w:kinsoku/>
        <w:wordWrap/>
        <w:overflowPunct/>
        <w:topLinePunct w:val="0"/>
        <w:autoSpaceDE/>
        <w:autoSpaceDN/>
        <w:bidi w:val="0"/>
        <w:adjustRightInd/>
        <w:snapToGrid w:val="0"/>
        <w:spacing w:line="530" w:lineRule="exact"/>
        <w:ind w:firstLine="480" w:firstLineChars="200"/>
        <w:textAlignment w:val="auto"/>
        <w:rPr>
          <w:rFonts w:hint="eastAsia" w:ascii="方正楷体_GBK" w:hAnsi="方正楷体_GBK" w:eastAsia="方正楷体_GBK" w:cs="方正楷体_GBK"/>
          <w:color w:val="auto"/>
          <w:sz w:val="24"/>
          <w:szCs w:val="24"/>
          <w:lang w:eastAsia="zh-CN"/>
        </w:rPr>
      </w:pPr>
      <w:r>
        <w:rPr>
          <w:rFonts w:hint="eastAsia" w:ascii="方正楷体_GBK" w:hAnsi="方正楷体_GBK" w:eastAsia="方正楷体_GBK" w:cs="方正楷体_GBK"/>
          <w:color w:val="auto"/>
          <w:sz w:val="24"/>
          <w:szCs w:val="24"/>
          <w:lang w:eastAsia="zh-CN"/>
        </w:rPr>
        <w:t>（一）项目概况：</w:t>
      </w:r>
    </w:p>
    <w:p>
      <w:pPr>
        <w:keepNext w:val="0"/>
        <w:keepLines w:val="0"/>
        <w:pageBreakBefore w:val="0"/>
        <w:widowControl w:val="0"/>
        <w:kinsoku/>
        <w:wordWrap/>
        <w:overflowPunct/>
        <w:topLinePunct w:val="0"/>
        <w:autoSpaceDE/>
        <w:autoSpaceDN/>
        <w:bidi w:val="0"/>
        <w:adjustRightInd/>
        <w:snapToGrid/>
        <w:spacing w:line="53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项目</w:t>
      </w:r>
      <w:r>
        <w:rPr>
          <w:rFonts w:hint="eastAsia" w:ascii="宋体" w:hAnsi="宋体" w:cs="Arial"/>
          <w:color w:val="auto"/>
          <w:sz w:val="24"/>
          <w:szCs w:val="24"/>
          <w:highlight w:val="none"/>
          <w:lang w:eastAsia="zh-CN"/>
        </w:rPr>
        <w:t>依托三峡文物科技保护基地，</w:t>
      </w:r>
      <w:r>
        <w:rPr>
          <w:rFonts w:hint="eastAsia" w:ascii="宋体" w:hAnsi="宋体" w:cs="Arial"/>
          <w:color w:val="auto"/>
          <w:sz w:val="24"/>
          <w:szCs w:val="24"/>
          <w:highlight w:val="none"/>
        </w:rPr>
        <w:t>聚焦文物保护修复、水情科普教育、文旅产品开发等，打造融合科普教育、研学体验与数字互动于一体的活态宣教空间</w:t>
      </w: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rPr>
        <w:t>项目总投资约1</w:t>
      </w:r>
      <w:r>
        <w:rPr>
          <w:rFonts w:hint="eastAsia" w:ascii="宋体" w:hAnsi="宋体" w:cs="Arial"/>
          <w:color w:val="auto"/>
          <w:sz w:val="24"/>
          <w:szCs w:val="24"/>
          <w:highlight w:val="none"/>
          <w:lang w:eastAsia="zh-CN"/>
        </w:rPr>
        <w:t>亿元。本项目主要工作为：编制</w:t>
      </w:r>
      <w:r>
        <w:rPr>
          <w:rFonts w:hint="eastAsia" w:ascii="宋体" w:hAnsi="宋体" w:cs="Arial"/>
          <w:color w:val="auto"/>
          <w:sz w:val="24"/>
          <w:szCs w:val="24"/>
          <w:highlight w:val="none"/>
          <w:lang w:val="en-US" w:eastAsia="zh-CN"/>
        </w:rPr>
        <w:t>三峡文物科技保护基地公共服务提升项目概念实施方案</w:t>
      </w:r>
      <w:r>
        <w:rPr>
          <w:rFonts w:hint="eastAsia" w:ascii="宋体" w:hAnsi="宋体" w:cs="Arial"/>
          <w:color w:val="auto"/>
          <w:sz w:val="24"/>
          <w:szCs w:val="24"/>
          <w:highlight w:val="none"/>
        </w:rPr>
        <w:t>。</w:t>
      </w:r>
    </w:p>
    <w:p>
      <w:pPr>
        <w:pageBreakBefore w:val="0"/>
        <w:widowControl w:val="0"/>
        <w:kinsoku/>
        <w:wordWrap/>
        <w:overflowPunct/>
        <w:topLinePunct w:val="0"/>
        <w:autoSpaceDE/>
        <w:autoSpaceDN/>
        <w:bidi w:val="0"/>
        <w:adjustRightInd/>
        <w:snapToGrid w:val="0"/>
        <w:spacing w:line="530" w:lineRule="exact"/>
        <w:ind w:firstLine="480" w:firstLineChars="200"/>
        <w:textAlignment w:val="auto"/>
        <w:rPr>
          <w:rFonts w:hint="eastAsia" w:ascii="方正楷体_GBK" w:hAnsi="方正楷体_GBK" w:eastAsia="方正楷体_GBK" w:cs="方正楷体_GBK"/>
          <w:color w:val="auto"/>
          <w:sz w:val="24"/>
          <w:szCs w:val="24"/>
          <w:lang w:val="en-US" w:eastAsia="zh-CN"/>
        </w:rPr>
      </w:pPr>
      <w:r>
        <w:rPr>
          <w:rFonts w:hint="eastAsia" w:ascii="方正楷体_GBK" w:hAnsi="方正楷体_GBK" w:eastAsia="方正楷体_GBK" w:cs="方正楷体_GBK"/>
          <w:color w:val="auto"/>
          <w:sz w:val="24"/>
          <w:szCs w:val="24"/>
          <w:lang w:eastAsia="zh-CN"/>
        </w:rPr>
        <w:t>（二）</w:t>
      </w:r>
      <w:r>
        <w:rPr>
          <w:rFonts w:hint="eastAsia" w:ascii="方正楷体_GBK" w:hAnsi="方正楷体_GBK" w:eastAsia="方正楷体_GBK" w:cs="方正楷体_GBK"/>
          <w:color w:val="auto"/>
          <w:sz w:val="24"/>
          <w:szCs w:val="24"/>
          <w:lang w:val="en-US" w:eastAsia="zh-CN"/>
        </w:rPr>
        <w:t>具体要求:</w:t>
      </w:r>
    </w:p>
    <w:p>
      <w:pPr>
        <w:keepNext w:val="0"/>
        <w:keepLines w:val="0"/>
        <w:pageBreakBefore w:val="0"/>
        <w:widowControl w:val="0"/>
        <w:kinsoku/>
        <w:wordWrap/>
        <w:overflowPunct/>
        <w:topLinePunct w:val="0"/>
        <w:autoSpaceDE/>
        <w:autoSpaceDN/>
        <w:bidi w:val="0"/>
        <w:adjustRightInd/>
        <w:snapToGrid/>
        <w:spacing w:line="530" w:lineRule="exact"/>
        <w:ind w:firstLine="480" w:firstLineChars="200"/>
        <w:textAlignment w:val="auto"/>
        <w:rPr>
          <w:rFonts w:hint="eastAsia" w:ascii="宋体" w:hAnsi="宋体" w:cs="Arial"/>
          <w:color w:val="auto"/>
          <w:sz w:val="24"/>
          <w:szCs w:val="24"/>
          <w:highlight w:val="none"/>
          <w:lang w:val="en-US" w:eastAsia="zh-CN"/>
        </w:rPr>
      </w:pPr>
      <w:r>
        <w:rPr>
          <w:rFonts w:hint="eastAsia" w:ascii="宋体" w:hAnsi="宋体" w:cs="Arial"/>
          <w:color w:val="auto"/>
          <w:sz w:val="24"/>
          <w:szCs w:val="24"/>
          <w:highlight w:val="none"/>
          <w:lang w:val="en-US" w:eastAsia="zh-CN"/>
        </w:rPr>
        <w:t>1.根据国家有关建筑设计法规、技术规范，结合我馆实际情况，完成</w:t>
      </w:r>
      <w:r>
        <w:rPr>
          <w:rFonts w:hint="eastAsia" w:ascii="宋体" w:hAnsi="宋体" w:cs="Arial"/>
          <w:color w:val="auto"/>
          <w:sz w:val="24"/>
          <w:szCs w:val="24"/>
          <w:highlight w:val="none"/>
          <w:lang w:eastAsia="zh-CN"/>
        </w:rPr>
        <w:t>公共服务提升项目概念方案编制</w:t>
      </w:r>
      <w:r>
        <w:rPr>
          <w:rFonts w:hint="eastAsia" w:ascii="宋体" w:hAnsi="宋体" w:cs="Arial"/>
          <w:color w:val="auto"/>
          <w:sz w:val="24"/>
          <w:szCs w:val="24"/>
          <w:highlight w:val="none"/>
          <w:lang w:val="en-US" w:eastAsia="zh-CN"/>
        </w:rPr>
        <w:t>，对设计成果进行设计交底、招标及现场指导等配合工作；</w:t>
      </w:r>
    </w:p>
    <w:p>
      <w:pPr>
        <w:keepNext w:val="0"/>
        <w:keepLines w:val="0"/>
        <w:pageBreakBefore w:val="0"/>
        <w:widowControl w:val="0"/>
        <w:kinsoku/>
        <w:wordWrap/>
        <w:overflowPunct/>
        <w:topLinePunct w:val="0"/>
        <w:autoSpaceDE/>
        <w:autoSpaceDN/>
        <w:bidi w:val="0"/>
        <w:adjustRightInd/>
        <w:snapToGrid/>
        <w:spacing w:line="530" w:lineRule="exact"/>
        <w:ind w:firstLine="480" w:firstLineChars="200"/>
        <w:textAlignment w:val="auto"/>
        <w:rPr>
          <w:rFonts w:hint="eastAsia" w:ascii="宋体" w:hAnsi="宋体" w:cs="Arial"/>
          <w:color w:val="auto"/>
          <w:sz w:val="24"/>
          <w:szCs w:val="24"/>
          <w:highlight w:val="none"/>
          <w:lang w:val="en-US" w:eastAsia="zh-CN"/>
        </w:rPr>
      </w:pPr>
      <w:r>
        <w:rPr>
          <w:rFonts w:hint="eastAsia" w:ascii="宋体" w:hAnsi="宋体" w:cs="Arial"/>
          <w:color w:val="auto"/>
          <w:sz w:val="24"/>
          <w:szCs w:val="24"/>
          <w:highlight w:val="none"/>
          <w:lang w:val="en-US" w:eastAsia="zh-CN"/>
        </w:rPr>
        <w:t>2.完成项目相关建设内容施工辅助服务相关工作并提交相应成果，以及协助招标人完成各项审批手续办理。项目实施过程中，发包人变更委托设计项目、规模、条件或因提交的资料错误，或所提交资料作较大修改，以致造成设计人设计需返工时，服务周期顺延，变更、优化等调整的设计图纸均由中标人出具。</w:t>
      </w:r>
    </w:p>
    <w:p>
      <w:pPr>
        <w:ind w:firstLine="480" w:firstLineChars="200"/>
        <w:rPr>
          <w:rFonts w:hint="eastAsia"/>
          <w:color w:val="FF0000"/>
          <w:lang w:val="en-US" w:eastAsia="zh-CN"/>
        </w:rPr>
      </w:pPr>
    </w:p>
    <w:p>
      <w:pPr>
        <w:pStyle w:val="3"/>
        <w:jc w:val="center"/>
        <w:rPr>
          <w:rFonts w:hint="eastAsia" w:ascii="宋体" w:hAnsi="宋体" w:eastAsia="宋体" w:cs="Arial"/>
          <w:color w:val="FF0000"/>
          <w:sz w:val="36"/>
        </w:rPr>
      </w:pPr>
      <w:bookmarkStart w:id="22" w:name="_Toc25725124"/>
      <w:bookmarkStart w:id="23" w:name="_Toc11641055"/>
      <w:bookmarkStart w:id="24" w:name="_Toc372538162"/>
    </w:p>
    <w:p>
      <w:pPr>
        <w:rPr>
          <w:rFonts w:hint="eastAsia" w:ascii="宋体" w:hAnsi="宋体" w:eastAsia="宋体" w:cs="Arial"/>
          <w:color w:val="FF0000"/>
          <w:sz w:val="36"/>
        </w:rPr>
      </w:pPr>
    </w:p>
    <w:p>
      <w:pPr>
        <w:rPr>
          <w:rFonts w:hint="eastAsia" w:ascii="宋体" w:hAnsi="宋体" w:eastAsia="宋体" w:cs="Arial"/>
          <w:color w:val="FF0000"/>
          <w:sz w:val="36"/>
        </w:rPr>
      </w:pPr>
    </w:p>
    <w:p>
      <w:pPr>
        <w:rPr>
          <w:rFonts w:hint="eastAsia" w:ascii="宋体" w:hAnsi="宋体" w:eastAsia="宋体" w:cs="Arial"/>
          <w:color w:val="FF0000"/>
          <w:sz w:val="36"/>
        </w:rPr>
      </w:pPr>
    </w:p>
    <w:p>
      <w:pPr>
        <w:rPr>
          <w:rFonts w:hint="eastAsia" w:ascii="宋体" w:hAnsi="宋体" w:eastAsia="宋体" w:cs="Arial"/>
          <w:color w:val="FF0000"/>
          <w:sz w:val="36"/>
        </w:rPr>
      </w:pPr>
    </w:p>
    <w:p>
      <w:pPr>
        <w:rPr>
          <w:rFonts w:hint="eastAsia" w:ascii="宋体" w:hAnsi="宋体" w:eastAsia="宋体" w:cs="Arial"/>
          <w:color w:val="FF0000"/>
          <w:sz w:val="36"/>
        </w:rPr>
      </w:pPr>
    </w:p>
    <w:p>
      <w:pPr>
        <w:rPr>
          <w:rFonts w:hint="eastAsia" w:ascii="宋体" w:hAnsi="宋体" w:eastAsia="宋体" w:cs="Arial"/>
          <w:color w:val="FF0000"/>
          <w:sz w:val="36"/>
        </w:rPr>
      </w:pPr>
    </w:p>
    <w:p>
      <w:pPr>
        <w:pStyle w:val="3"/>
        <w:jc w:val="center"/>
        <w:rPr>
          <w:rStyle w:val="11"/>
          <w:rFonts w:hint="eastAsia" w:ascii="Arial" w:hAnsi="Arial" w:eastAsia="黑体" w:cstheme="minorBidi"/>
          <w:b/>
          <w:color w:val="auto"/>
          <w:kern w:val="2"/>
          <w:sz w:val="32"/>
          <w:szCs w:val="22"/>
          <w:lang w:val="en-US" w:eastAsia="zh-CN" w:bidi="ar-SA"/>
        </w:rPr>
      </w:pPr>
      <w:r>
        <w:rPr>
          <w:rStyle w:val="11"/>
          <w:rFonts w:hint="eastAsia" w:ascii="Arial" w:hAnsi="Arial" w:eastAsia="黑体" w:cstheme="minorBidi"/>
          <w:b/>
          <w:color w:val="auto"/>
          <w:kern w:val="2"/>
          <w:sz w:val="32"/>
          <w:szCs w:val="22"/>
          <w:lang w:val="en-US" w:eastAsia="zh-CN" w:bidi="ar-SA"/>
        </w:rPr>
        <w:t>第四篇   商务要求</w:t>
      </w:r>
      <w:bookmarkEnd w:id="22"/>
      <w:bookmarkEnd w:id="23"/>
      <w:bookmarkEnd w:id="24"/>
    </w:p>
    <w:p>
      <w:pPr>
        <w:pStyle w:val="4"/>
        <w:pageBreakBefore w:val="0"/>
        <w:numPr>
          <w:ilvl w:val="0"/>
          <w:numId w:val="5"/>
        </w:numPr>
        <w:kinsoku/>
        <w:wordWrap/>
        <w:overflowPunct/>
        <w:topLinePunct w:val="0"/>
        <w:autoSpaceDE/>
        <w:autoSpaceDN/>
        <w:bidi w:val="0"/>
        <w:adjustRightInd/>
        <w:spacing w:line="460" w:lineRule="exact"/>
        <w:textAlignment w:val="auto"/>
        <w:rPr>
          <w:rStyle w:val="11"/>
          <w:rFonts w:hint="eastAsia"/>
          <w:color w:val="auto"/>
        </w:rPr>
      </w:pPr>
      <w:bookmarkStart w:id="25" w:name="_Toc344475120"/>
      <w:bookmarkStart w:id="26" w:name="_Toc498442539"/>
      <w:bookmarkStart w:id="27" w:name="_Toc480882274"/>
      <w:bookmarkStart w:id="28" w:name="_Toc25725133"/>
      <w:r>
        <w:rPr>
          <w:rStyle w:val="11"/>
          <w:rFonts w:hint="eastAsia"/>
          <w:color w:val="auto"/>
        </w:rPr>
        <w:t>交货时间、地点及验收方式</w:t>
      </w:r>
      <w:bookmarkEnd w:id="25"/>
      <w:bookmarkEnd w:id="26"/>
      <w:bookmarkEnd w:id="27"/>
      <w:bookmarkStart w:id="29" w:name="_Toc480882275"/>
      <w:bookmarkStart w:id="30" w:name="_Toc344475121"/>
      <w:bookmarkStart w:id="31" w:name="_Toc498442540"/>
    </w:p>
    <w:p>
      <w:pPr>
        <w:pStyle w:val="4"/>
        <w:pageBreakBefore w:val="0"/>
        <w:numPr>
          <w:ilvl w:val="0"/>
          <w:numId w:val="0"/>
        </w:numPr>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（一）交货时间</w:t>
      </w:r>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自合同签订之日起60日历日内完成项目概念实施方案设计相关工作，并配合采购人员提交项目相关入库立项相关资料，服务期至本项目综合验收完成日止。</w:t>
      </w:r>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（二）地点</w:t>
      </w:r>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三峡文物科技保护基地</w:t>
      </w:r>
      <w:r>
        <w:rPr>
          <w:rFonts w:hint="eastAsia" w:asciiTheme="minorEastAsia" w:hAnsiTheme="minorEastAsia" w:cstheme="minorEastAsia"/>
          <w:color w:val="auto"/>
          <w:sz w:val="24"/>
          <w:szCs w:val="24"/>
          <w:lang w:eastAsia="zh-CN"/>
        </w:rPr>
        <w:t>。</w:t>
      </w:r>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（三）交付数量</w:t>
      </w:r>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公共服务提升项目概念实施方案纸质件3份、电子文档1份。</w:t>
      </w:r>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（四）验收方式</w:t>
      </w:r>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完成项目施工及竣工验收</w:t>
      </w:r>
    </w:p>
    <w:p>
      <w:pPr>
        <w:pageBreakBefore w:val="0"/>
        <w:widowControl/>
        <w:kinsoku/>
        <w:wordWrap/>
        <w:overflowPunct/>
        <w:topLinePunct w:val="0"/>
        <w:autoSpaceDE/>
        <w:autoSpaceDN/>
        <w:bidi w:val="0"/>
        <w:adjustRightInd/>
        <w:snapToGrid/>
        <w:spacing w:line="460" w:lineRule="exact"/>
        <w:jc w:val="left"/>
        <w:textAlignment w:val="auto"/>
        <w:rPr>
          <w:rStyle w:val="11"/>
          <w:rFonts w:hint="eastAsia" w:eastAsia="宋体" w:asciiTheme="minorHAnsi" w:hAnsiTheme="minorHAnsi" w:cstheme="minorBidi"/>
          <w:b/>
          <w:color w:val="auto"/>
          <w:kern w:val="2"/>
          <w:sz w:val="32"/>
          <w:szCs w:val="22"/>
          <w:lang w:val="en-US" w:eastAsia="zh-CN" w:bidi="ar-SA"/>
        </w:rPr>
      </w:pPr>
      <w:r>
        <w:rPr>
          <w:rStyle w:val="11"/>
          <w:rFonts w:hint="eastAsia" w:eastAsia="宋体" w:asciiTheme="minorHAnsi" w:hAnsiTheme="minorHAnsi" w:cstheme="minorBidi"/>
          <w:b/>
          <w:color w:val="auto"/>
          <w:kern w:val="2"/>
          <w:sz w:val="32"/>
          <w:szCs w:val="22"/>
          <w:lang w:val="en-US" w:eastAsia="zh-CN" w:bidi="ar-SA"/>
        </w:rPr>
        <w:t>二、</w:t>
      </w:r>
      <w:bookmarkStart w:id="32" w:name="_Toc498442541"/>
      <w:bookmarkStart w:id="33" w:name="_Toc344475122"/>
      <w:bookmarkStart w:id="34" w:name="_Toc480882276"/>
      <w:bookmarkEnd w:id="28"/>
      <w:bookmarkEnd w:id="29"/>
      <w:bookmarkEnd w:id="30"/>
      <w:bookmarkEnd w:id="31"/>
      <w:r>
        <w:rPr>
          <w:rStyle w:val="11"/>
          <w:rFonts w:hint="eastAsia" w:eastAsia="宋体" w:asciiTheme="minorHAnsi" w:hAnsiTheme="minorHAnsi" w:cstheme="minorBidi"/>
          <w:b/>
          <w:color w:val="auto"/>
          <w:kern w:val="2"/>
          <w:sz w:val="32"/>
          <w:szCs w:val="22"/>
          <w:lang w:val="en-US" w:eastAsia="zh-CN" w:bidi="ar-SA"/>
        </w:rPr>
        <w:t>付款方式</w:t>
      </w:r>
      <w:bookmarkEnd w:id="32"/>
      <w:bookmarkEnd w:id="33"/>
      <w:bookmarkEnd w:id="34"/>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 xml:space="preserve">提交概念实施方案初稿支付至合同额的40%，提交方案正式设计稿、配合完成项目入库立项后支付至合同额的90%，项目通过竣工验收后一次性支付至合同额的100%。 </w:t>
      </w:r>
    </w:p>
    <w:p>
      <w:pPr>
        <w:pageBreakBefore w:val="0"/>
        <w:widowControl/>
        <w:kinsoku/>
        <w:wordWrap/>
        <w:overflowPunct/>
        <w:topLinePunct w:val="0"/>
        <w:autoSpaceDE/>
        <w:autoSpaceDN/>
        <w:bidi w:val="0"/>
        <w:adjustRightInd/>
        <w:snapToGrid/>
        <w:spacing w:line="460" w:lineRule="exact"/>
        <w:jc w:val="left"/>
        <w:textAlignment w:val="auto"/>
        <w:rPr>
          <w:rStyle w:val="11"/>
          <w:rFonts w:hint="eastAsia" w:eastAsia="宋体" w:asciiTheme="minorHAnsi" w:hAnsiTheme="minorHAnsi" w:cstheme="minorBidi"/>
          <w:b/>
          <w:color w:val="auto"/>
          <w:kern w:val="2"/>
          <w:sz w:val="32"/>
          <w:szCs w:val="22"/>
          <w:lang w:val="en-US" w:eastAsia="zh-CN" w:bidi="ar-SA"/>
        </w:rPr>
      </w:pPr>
      <w:r>
        <w:rPr>
          <w:rStyle w:val="11"/>
          <w:rFonts w:hint="eastAsia" w:eastAsia="宋体" w:cstheme="minorBidi"/>
          <w:b/>
          <w:color w:val="auto"/>
          <w:kern w:val="2"/>
          <w:sz w:val="32"/>
          <w:szCs w:val="22"/>
          <w:lang w:val="en-US" w:eastAsia="zh-CN" w:bidi="ar-SA"/>
        </w:rPr>
        <w:t>三</w:t>
      </w:r>
      <w:r>
        <w:rPr>
          <w:rStyle w:val="11"/>
          <w:rFonts w:hint="eastAsia" w:eastAsia="宋体" w:asciiTheme="minorHAnsi" w:hAnsiTheme="minorHAnsi" w:cstheme="minorBidi"/>
          <w:b/>
          <w:color w:val="auto"/>
          <w:kern w:val="2"/>
          <w:sz w:val="32"/>
          <w:szCs w:val="22"/>
          <w:lang w:val="en-US" w:eastAsia="zh-CN" w:bidi="ar-SA"/>
        </w:rPr>
        <w:t>、</w:t>
      </w:r>
      <w:bookmarkStart w:id="35" w:name="_Toc498442542"/>
      <w:r>
        <w:rPr>
          <w:rStyle w:val="11"/>
          <w:rFonts w:hint="eastAsia" w:eastAsia="宋体" w:asciiTheme="minorHAnsi" w:hAnsiTheme="minorHAnsi" w:cstheme="minorBidi"/>
          <w:b/>
          <w:color w:val="auto"/>
          <w:kern w:val="2"/>
          <w:sz w:val="32"/>
          <w:szCs w:val="22"/>
          <w:lang w:val="en-US" w:eastAsia="zh-CN" w:bidi="ar-SA"/>
        </w:rPr>
        <w:t>付款单位</w:t>
      </w:r>
      <w:bookmarkEnd w:id="35"/>
    </w:p>
    <w:p>
      <w:pPr>
        <w:keepNext w:val="0"/>
        <w:keepLines w:val="0"/>
        <w:pageBreakBefore w:val="0"/>
        <w:widowControl/>
        <w:kinsoku/>
        <w:wordWrap/>
        <w:overflowPunct/>
        <w:topLinePunct w:val="0"/>
        <w:autoSpaceDE/>
        <w:autoSpaceDN/>
        <w:bidi w:val="0"/>
        <w:adjustRightInd/>
        <w:snapToGrid/>
        <w:spacing w:line="460" w:lineRule="exact"/>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重庆中国三峡博物馆</w:t>
      </w:r>
    </w:p>
    <w:p>
      <w:pPr>
        <w:pStyle w:val="3"/>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Arial"/>
          <w:sz w:val="28"/>
          <w:szCs w:val="28"/>
        </w:rPr>
      </w:pPr>
      <w:r>
        <w:rPr>
          <w:rFonts w:hint="eastAsia" w:ascii="宋体" w:hAnsi="宋体" w:eastAsia="宋体" w:cs="Arial"/>
          <w:color w:val="auto"/>
          <w:sz w:val="24"/>
          <w:szCs w:val="24"/>
        </w:rPr>
        <w:br w:type="page"/>
      </w:r>
      <w:bookmarkStart w:id="36" w:name="_Toc372538173"/>
      <w:bookmarkStart w:id="37" w:name="_Toc25725135"/>
    </w:p>
    <w:p>
      <w:pPr>
        <w:pStyle w:val="3"/>
        <w:jc w:val="center"/>
        <w:rPr>
          <w:rStyle w:val="11"/>
          <w:rFonts w:hint="eastAsia" w:ascii="Arial" w:hAnsi="Arial" w:eastAsia="黑体" w:cstheme="minorBidi"/>
          <w:b/>
          <w:kern w:val="2"/>
          <w:sz w:val="32"/>
          <w:szCs w:val="22"/>
          <w:lang w:val="en-US" w:eastAsia="zh-CN" w:bidi="ar-SA"/>
        </w:rPr>
      </w:pPr>
      <w:r>
        <w:rPr>
          <w:rStyle w:val="11"/>
          <w:rFonts w:hint="eastAsia" w:ascii="Arial" w:hAnsi="Arial" w:eastAsia="黑体" w:cstheme="minorBidi"/>
          <w:b/>
          <w:kern w:val="2"/>
          <w:sz w:val="32"/>
          <w:szCs w:val="22"/>
          <w:lang w:val="en-US" w:eastAsia="zh-CN" w:bidi="ar-SA"/>
        </w:rPr>
        <w:t>第五篇  合同关键条款</w:t>
      </w:r>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1.本项目不允许整体转包、分包或者部分转包、分包。</w:t>
      </w:r>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2.按照约定时间和质量要求完成概念实施方案。</w:t>
      </w:r>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3.采购单位收到中标单位提交的项目概念方案编制后发现存在遗漏或者不符合委托目的的，有权要求中标单位在约定书约定的时间内补充调整，中标单位不得要求采购单位增加支付费用。</w:t>
      </w:r>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Arial" w:eastAsiaTheme="minorEastAsia"/>
          <w:b w:val="0"/>
          <w:kern w:val="2"/>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rPr>
        <w:t>其他未尽事宜由供需双方在采购合同中详细约定。</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960" w:firstLineChars="400"/>
        <w:jc w:val="left"/>
        <w:textAlignment w:val="auto"/>
        <w:outlineLvl w:val="9"/>
        <w:rPr>
          <w:rFonts w:hint="eastAsia" w:ascii="宋体" w:hAnsi="宋体" w:cs="Arial"/>
          <w:sz w:val="24"/>
          <w:szCs w:val="24"/>
          <w:lang w:val="en-US" w:eastAsia="zh-CN"/>
        </w:rPr>
      </w:pPr>
    </w:p>
    <w:p>
      <w:pPr>
        <w:pStyle w:val="3"/>
        <w:jc w:val="center"/>
        <w:rPr>
          <w:rFonts w:hint="eastAsia" w:ascii="宋体" w:hAnsi="宋体" w:eastAsia="宋体" w:cs="Arial"/>
          <w:sz w:val="28"/>
          <w:szCs w:val="28"/>
        </w:rPr>
      </w:pPr>
    </w:p>
    <w:p>
      <w:pPr>
        <w:pStyle w:val="3"/>
        <w:jc w:val="both"/>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numPr>
          <w:ilvl w:val="0"/>
          <w:numId w:val="0"/>
        </w:numPr>
        <w:spacing w:line="360" w:lineRule="auto"/>
        <w:jc w:val="both"/>
        <w:rPr>
          <w:rFonts w:hint="eastAsia" w:ascii="宋体" w:hAnsi="宋体" w:eastAsia="宋体" w:cs="Arial"/>
          <w:sz w:val="36"/>
        </w:rPr>
      </w:pPr>
    </w:p>
    <w:p>
      <w:pPr>
        <w:pStyle w:val="3"/>
        <w:jc w:val="center"/>
        <w:rPr>
          <w:rStyle w:val="11"/>
          <w:rFonts w:hint="eastAsia" w:ascii="Arial" w:hAnsi="Arial" w:eastAsia="黑体" w:cstheme="minorBidi"/>
          <w:b/>
          <w:kern w:val="2"/>
          <w:sz w:val="32"/>
          <w:szCs w:val="22"/>
          <w:lang w:val="en-US" w:eastAsia="zh-CN" w:bidi="ar-SA"/>
        </w:rPr>
      </w:pPr>
      <w:r>
        <w:rPr>
          <w:rStyle w:val="11"/>
          <w:rFonts w:hint="eastAsia" w:ascii="Arial" w:hAnsi="Arial" w:eastAsia="黑体" w:cstheme="minorBidi"/>
          <w:b/>
          <w:kern w:val="2"/>
          <w:sz w:val="32"/>
          <w:szCs w:val="22"/>
          <w:lang w:val="en-US" w:eastAsia="zh-CN" w:bidi="ar-SA"/>
        </w:rPr>
        <w:t xml:space="preserve">第六篇   </w:t>
      </w:r>
      <w:bookmarkEnd w:id="36"/>
      <w:bookmarkEnd w:id="37"/>
      <w:r>
        <w:rPr>
          <w:rStyle w:val="11"/>
          <w:rFonts w:hint="eastAsia" w:ascii="Arial" w:hAnsi="Arial" w:eastAsia="黑体" w:cstheme="minorBidi"/>
          <w:b/>
          <w:kern w:val="2"/>
          <w:sz w:val="32"/>
          <w:szCs w:val="22"/>
          <w:lang w:val="en-US" w:eastAsia="zh-CN" w:bidi="ar-SA"/>
        </w:rPr>
        <w:t>供应商编制响应文件要求</w:t>
      </w:r>
    </w:p>
    <w:p>
      <w:pPr>
        <w:keepNext w:val="0"/>
        <w:keepLines w:val="0"/>
        <w:pageBreakBefore w:val="0"/>
        <w:widowControl w:val="0"/>
        <w:kinsoku/>
        <w:wordWrap/>
        <w:overflowPunct/>
        <w:topLinePunct w:val="0"/>
        <w:autoSpaceDE/>
        <w:autoSpaceDN/>
        <w:bidi w:val="0"/>
        <w:adjustRightInd/>
        <w:spacing w:line="460" w:lineRule="exact"/>
        <w:textAlignment w:val="auto"/>
        <w:outlineLvl w:val="9"/>
        <w:rPr>
          <w:rFonts w:ascii="宋体" w:hAnsi="宋体" w:cs="Arial"/>
          <w:color w:val="auto"/>
          <w:sz w:val="24"/>
          <w:szCs w:val="24"/>
        </w:rPr>
      </w:pPr>
      <w:r>
        <w:rPr>
          <w:rFonts w:hint="eastAsia" w:ascii="宋体" w:hAnsi="宋体" w:cs="Arial"/>
          <w:color w:val="auto"/>
          <w:sz w:val="24"/>
          <w:szCs w:val="24"/>
        </w:rPr>
        <w:t>一、</w:t>
      </w:r>
      <w:r>
        <w:rPr>
          <w:rFonts w:hint="eastAsia" w:ascii="宋体" w:hAnsi="宋体" w:cs="Arial"/>
          <w:b/>
          <w:bCs/>
          <w:color w:val="auto"/>
          <w:sz w:val="24"/>
          <w:szCs w:val="24"/>
        </w:rPr>
        <w:t>资格文件</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240" w:firstLineChars="100"/>
        <w:textAlignment w:val="auto"/>
        <w:outlineLvl w:val="9"/>
        <w:rPr>
          <w:rFonts w:hint="eastAsia" w:ascii="宋体" w:hAnsi="宋体" w:cs="Arial"/>
          <w:color w:val="auto"/>
          <w:sz w:val="24"/>
          <w:szCs w:val="24"/>
        </w:rPr>
      </w:pPr>
      <w:r>
        <w:rPr>
          <w:rFonts w:hint="eastAsia" w:asciiTheme="minorEastAsia" w:hAnsiTheme="minorEastAsia" w:cstheme="minorEastAsia"/>
          <w:bCs/>
          <w:color w:val="auto"/>
          <w:sz w:val="24"/>
          <w:szCs w:val="24"/>
        </w:rPr>
        <w:t>（一）</w:t>
      </w:r>
      <w:r>
        <w:rPr>
          <w:rFonts w:hint="eastAsia" w:ascii="宋体" w:hAnsi="宋体" w:cs="Arial"/>
          <w:color w:val="auto"/>
          <w:sz w:val="24"/>
          <w:szCs w:val="24"/>
        </w:rPr>
        <w:t>营业执照或者法人证书复印件（加盖投标单位鲜章）</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240" w:firstLineChars="100"/>
        <w:textAlignment w:val="auto"/>
        <w:outlineLvl w:val="9"/>
        <w:rPr>
          <w:rFonts w:hint="eastAsia" w:ascii="宋体" w:hAnsi="宋体" w:cs="Arial"/>
          <w:color w:val="auto"/>
          <w:sz w:val="24"/>
          <w:szCs w:val="24"/>
        </w:rPr>
      </w:pPr>
      <w:r>
        <w:rPr>
          <w:rFonts w:hint="eastAsia" w:asciiTheme="minorEastAsia" w:hAnsiTheme="minorEastAsia" w:cstheme="minorEastAsia"/>
          <w:bCs/>
          <w:color w:val="auto"/>
          <w:sz w:val="24"/>
          <w:szCs w:val="24"/>
        </w:rPr>
        <w:t>（</w:t>
      </w:r>
      <w:r>
        <w:rPr>
          <w:rFonts w:hint="eastAsia" w:asciiTheme="minorEastAsia" w:hAnsiTheme="minorEastAsia" w:cstheme="minorEastAsia"/>
          <w:bCs/>
          <w:color w:val="auto"/>
          <w:sz w:val="24"/>
          <w:szCs w:val="24"/>
          <w:lang w:val="en-US" w:eastAsia="zh-CN"/>
        </w:rPr>
        <w:t>二</w:t>
      </w:r>
      <w:r>
        <w:rPr>
          <w:rFonts w:hint="eastAsia" w:asciiTheme="minorEastAsia" w:hAnsiTheme="minorEastAsia" w:cstheme="minorEastAsia"/>
          <w:bCs/>
          <w:color w:val="auto"/>
          <w:sz w:val="24"/>
          <w:szCs w:val="24"/>
        </w:rPr>
        <w:t>）</w:t>
      </w:r>
      <w:r>
        <w:rPr>
          <w:rFonts w:hint="eastAsia" w:ascii="宋体" w:hAnsi="宋体" w:cs="Arial"/>
          <w:color w:val="auto"/>
          <w:sz w:val="24"/>
          <w:szCs w:val="24"/>
        </w:rPr>
        <w:t>特定资格条件复印件（加盖投标单位鲜章）</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240" w:firstLineChars="100"/>
        <w:textAlignment w:val="auto"/>
        <w:outlineLvl w:val="9"/>
        <w:rPr>
          <w:rFonts w:hint="eastAsia" w:ascii="宋体" w:hAnsi="宋体" w:cs="Arial"/>
          <w:color w:val="auto"/>
          <w:sz w:val="24"/>
          <w:szCs w:val="24"/>
        </w:rPr>
      </w:pPr>
      <w:r>
        <w:rPr>
          <w:rFonts w:hint="eastAsia" w:asciiTheme="minorEastAsia" w:hAnsiTheme="minorEastAsia" w:cstheme="minorEastAsia"/>
          <w:bCs/>
          <w:color w:val="auto"/>
          <w:sz w:val="24"/>
          <w:szCs w:val="24"/>
        </w:rPr>
        <w:t>（</w:t>
      </w:r>
      <w:r>
        <w:rPr>
          <w:rFonts w:hint="eastAsia" w:asciiTheme="minorEastAsia" w:hAnsiTheme="minorEastAsia" w:cstheme="minorEastAsia"/>
          <w:bCs/>
          <w:color w:val="auto"/>
          <w:sz w:val="24"/>
          <w:szCs w:val="24"/>
          <w:lang w:val="en-US" w:eastAsia="zh-CN"/>
        </w:rPr>
        <w:t>三</w:t>
      </w:r>
      <w:r>
        <w:rPr>
          <w:rFonts w:hint="eastAsia" w:asciiTheme="minorEastAsia" w:hAnsiTheme="minorEastAsia" w:cstheme="minorEastAsia"/>
          <w:bCs/>
          <w:color w:val="auto"/>
          <w:sz w:val="24"/>
          <w:szCs w:val="24"/>
        </w:rPr>
        <w:t>）</w:t>
      </w:r>
      <w:r>
        <w:rPr>
          <w:rFonts w:hint="eastAsia" w:ascii="宋体" w:hAnsi="宋体" w:cs="Arial"/>
          <w:color w:val="auto"/>
          <w:sz w:val="24"/>
          <w:szCs w:val="24"/>
        </w:rPr>
        <w:t>法定代表人身份证明书（格式）或者法定代表人授权委托书（格式）</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240" w:firstLineChars="100"/>
        <w:textAlignment w:val="auto"/>
        <w:outlineLvl w:val="9"/>
        <w:rPr>
          <w:rFonts w:hint="eastAsia" w:ascii="宋体" w:hAnsi="宋体" w:cs="Arial"/>
          <w:color w:val="auto"/>
          <w:sz w:val="24"/>
          <w:szCs w:val="24"/>
        </w:rPr>
      </w:pPr>
      <w:r>
        <w:rPr>
          <w:rFonts w:hint="eastAsia" w:asciiTheme="minorEastAsia" w:hAnsiTheme="minorEastAsia" w:cstheme="minorEastAsia"/>
          <w:bCs/>
          <w:color w:val="auto"/>
          <w:sz w:val="24"/>
          <w:szCs w:val="24"/>
        </w:rPr>
        <w:t>（</w:t>
      </w:r>
      <w:r>
        <w:rPr>
          <w:rFonts w:hint="eastAsia" w:asciiTheme="minorEastAsia" w:hAnsiTheme="minorEastAsia" w:cstheme="minorEastAsia"/>
          <w:bCs/>
          <w:color w:val="auto"/>
          <w:sz w:val="24"/>
          <w:szCs w:val="24"/>
          <w:lang w:val="en-US" w:eastAsia="zh-CN"/>
        </w:rPr>
        <w:t>四</w:t>
      </w:r>
      <w:r>
        <w:rPr>
          <w:rFonts w:hint="eastAsia" w:asciiTheme="minorEastAsia" w:hAnsiTheme="minorEastAsia" w:cstheme="minorEastAsia"/>
          <w:bCs/>
          <w:color w:val="auto"/>
          <w:sz w:val="24"/>
          <w:szCs w:val="24"/>
        </w:rPr>
        <w:t>）</w:t>
      </w:r>
      <w:r>
        <w:rPr>
          <w:rFonts w:hint="eastAsia" w:ascii="宋体" w:hAnsi="宋体" w:cs="Arial"/>
          <w:color w:val="auto"/>
          <w:sz w:val="24"/>
          <w:szCs w:val="24"/>
        </w:rPr>
        <w:t>诚信声明书（格式）</w:t>
      </w:r>
    </w:p>
    <w:p>
      <w:pPr>
        <w:keepNext w:val="0"/>
        <w:keepLines w:val="0"/>
        <w:pageBreakBefore w:val="0"/>
        <w:widowControl w:val="0"/>
        <w:numPr>
          <w:ilvl w:val="0"/>
          <w:numId w:val="0"/>
        </w:numPr>
        <w:kinsoku/>
        <w:wordWrap/>
        <w:overflowPunct/>
        <w:topLinePunct w:val="0"/>
        <w:autoSpaceDE/>
        <w:autoSpaceDN/>
        <w:bidi w:val="0"/>
        <w:adjustRightInd/>
        <w:spacing w:line="460" w:lineRule="exact"/>
        <w:ind w:firstLine="240" w:firstLineChars="100"/>
        <w:textAlignment w:val="auto"/>
        <w:outlineLvl w:val="9"/>
        <w:rPr>
          <w:rFonts w:hint="eastAsia" w:ascii="宋体" w:hAnsi="宋体" w:cs="Arial"/>
          <w:color w:val="auto"/>
          <w:sz w:val="24"/>
          <w:szCs w:val="24"/>
        </w:rPr>
      </w:pPr>
      <w:r>
        <w:rPr>
          <w:rFonts w:hint="eastAsia" w:asciiTheme="minorEastAsia" w:hAnsiTheme="minorEastAsia" w:cstheme="minorEastAsia"/>
          <w:bCs/>
          <w:color w:val="auto"/>
          <w:sz w:val="24"/>
          <w:szCs w:val="24"/>
        </w:rPr>
        <w:t>（</w:t>
      </w:r>
      <w:r>
        <w:rPr>
          <w:rFonts w:hint="eastAsia" w:asciiTheme="minorEastAsia" w:hAnsiTheme="minorEastAsia" w:cstheme="minorEastAsia"/>
          <w:bCs/>
          <w:color w:val="auto"/>
          <w:sz w:val="24"/>
          <w:szCs w:val="24"/>
          <w:lang w:val="en-US" w:eastAsia="zh-CN"/>
        </w:rPr>
        <w:t>五</w:t>
      </w:r>
      <w:r>
        <w:rPr>
          <w:rFonts w:hint="eastAsia" w:asciiTheme="minorEastAsia" w:hAnsiTheme="minorEastAsia" w:cstheme="minorEastAsia"/>
          <w:bCs/>
          <w:color w:val="auto"/>
          <w:sz w:val="24"/>
          <w:szCs w:val="24"/>
        </w:rPr>
        <w:t>）</w:t>
      </w:r>
      <w:r>
        <w:rPr>
          <w:rFonts w:hint="eastAsia" w:ascii="宋体" w:hAnsi="宋体" w:cs="Arial"/>
          <w:color w:val="auto"/>
          <w:sz w:val="24"/>
          <w:szCs w:val="24"/>
        </w:rPr>
        <w:t>业绩（合同复印件加盖投标单位公章）</w:t>
      </w:r>
    </w:p>
    <w:p>
      <w:pPr>
        <w:keepNext w:val="0"/>
        <w:keepLines w:val="0"/>
        <w:pageBreakBefore w:val="0"/>
        <w:widowControl w:val="0"/>
        <w:numPr>
          <w:ilvl w:val="0"/>
          <w:numId w:val="6"/>
        </w:numPr>
        <w:kinsoku/>
        <w:wordWrap/>
        <w:overflowPunct/>
        <w:topLinePunct w:val="0"/>
        <w:autoSpaceDE/>
        <w:autoSpaceDN/>
        <w:bidi w:val="0"/>
        <w:adjustRightInd/>
        <w:spacing w:line="460" w:lineRule="exact"/>
        <w:textAlignment w:val="auto"/>
        <w:outlineLvl w:val="9"/>
        <w:rPr>
          <w:rFonts w:ascii="Times New Roman" w:hAnsi="Times New Roman" w:eastAsia="宋体"/>
          <w:b/>
          <w:bCs/>
          <w:color w:val="auto"/>
          <w:sz w:val="24"/>
          <w:szCs w:val="24"/>
        </w:rPr>
      </w:pPr>
      <w:r>
        <w:rPr>
          <w:rFonts w:hint="eastAsia" w:ascii="宋体" w:hAnsi="宋体" w:cs="Arial"/>
          <w:b/>
          <w:bCs/>
          <w:color w:val="auto"/>
          <w:sz w:val="24"/>
          <w:szCs w:val="24"/>
        </w:rPr>
        <w:t>技术文件</w:t>
      </w:r>
    </w:p>
    <w:p>
      <w:pPr>
        <w:keepNext w:val="0"/>
        <w:keepLines w:val="0"/>
        <w:pageBreakBefore w:val="0"/>
        <w:widowControl w:val="0"/>
        <w:kinsoku/>
        <w:wordWrap/>
        <w:overflowPunct/>
        <w:topLinePunct w:val="0"/>
        <w:autoSpaceDE/>
        <w:autoSpaceDN/>
        <w:bidi w:val="0"/>
        <w:adjustRightInd/>
        <w:snapToGrid w:val="0"/>
        <w:spacing w:line="460" w:lineRule="exact"/>
        <w:textAlignment w:val="auto"/>
        <w:outlineLvl w:val="9"/>
        <w:rPr>
          <w:rFonts w:asciiTheme="minorEastAsia" w:hAnsiTheme="minorEastAsia" w:cstheme="minorEastAsia"/>
          <w:color w:val="auto"/>
          <w:sz w:val="24"/>
          <w:szCs w:val="24"/>
        </w:rPr>
      </w:pPr>
      <w:r>
        <w:rPr>
          <w:rFonts w:hint="eastAsia" w:asciiTheme="minorEastAsia" w:hAnsiTheme="minorEastAsia" w:cstheme="minorEastAsia"/>
          <w:bCs/>
          <w:color w:val="auto"/>
          <w:sz w:val="24"/>
          <w:szCs w:val="24"/>
        </w:rPr>
        <w:t xml:space="preserve">   （一）服务方案（格式、内容自拟，每页加盖投标单位鲜章或骑缝章）</w:t>
      </w:r>
    </w:p>
    <w:p>
      <w:pPr>
        <w:keepNext w:val="0"/>
        <w:keepLines w:val="0"/>
        <w:pageBreakBefore w:val="0"/>
        <w:widowControl w:val="0"/>
        <w:numPr>
          <w:ilvl w:val="0"/>
          <w:numId w:val="6"/>
        </w:numPr>
        <w:kinsoku/>
        <w:wordWrap/>
        <w:overflowPunct/>
        <w:topLinePunct w:val="0"/>
        <w:autoSpaceDE/>
        <w:autoSpaceDN/>
        <w:bidi w:val="0"/>
        <w:adjustRightInd/>
        <w:spacing w:line="460" w:lineRule="exact"/>
        <w:textAlignment w:val="auto"/>
        <w:outlineLvl w:val="9"/>
        <w:rPr>
          <w:rFonts w:ascii="宋体" w:hAnsi="宋体" w:cs="Arial"/>
          <w:b/>
          <w:bCs/>
          <w:color w:val="auto"/>
          <w:sz w:val="24"/>
          <w:szCs w:val="24"/>
        </w:rPr>
      </w:pPr>
      <w:r>
        <w:rPr>
          <w:rFonts w:hint="eastAsia" w:ascii="宋体" w:hAnsi="宋体" w:cs="Arial"/>
          <w:b/>
          <w:bCs/>
          <w:color w:val="auto"/>
          <w:sz w:val="24"/>
          <w:szCs w:val="24"/>
        </w:rPr>
        <w:t>经济文件</w:t>
      </w:r>
    </w:p>
    <w:p>
      <w:pPr>
        <w:keepNext w:val="0"/>
        <w:keepLines w:val="0"/>
        <w:pageBreakBefore w:val="0"/>
        <w:widowControl w:val="0"/>
        <w:kinsoku/>
        <w:wordWrap/>
        <w:overflowPunct/>
        <w:topLinePunct w:val="0"/>
        <w:autoSpaceDE/>
        <w:autoSpaceDN/>
        <w:bidi w:val="0"/>
        <w:adjustRightInd/>
        <w:spacing w:line="460" w:lineRule="exact"/>
        <w:ind w:firstLine="240" w:firstLineChars="100"/>
        <w:textAlignment w:val="auto"/>
        <w:outlineLvl w:val="9"/>
        <w:rPr>
          <w:rFonts w:hint="eastAsia" w:ascii="宋体" w:hAnsi="宋体" w:cs="Arial"/>
          <w:color w:val="auto"/>
          <w:sz w:val="24"/>
          <w:szCs w:val="24"/>
        </w:rPr>
      </w:pPr>
      <w:r>
        <w:rPr>
          <w:rFonts w:hint="eastAsia" w:ascii="宋体" w:hAnsi="宋体" w:cs="Arial"/>
          <w:color w:val="auto"/>
          <w:sz w:val="24"/>
          <w:szCs w:val="24"/>
        </w:rPr>
        <w:t>（一）报价函（格式）</w:t>
      </w:r>
    </w:p>
    <w:p>
      <w:pPr>
        <w:keepNext w:val="0"/>
        <w:keepLines w:val="0"/>
        <w:pageBreakBefore w:val="0"/>
        <w:widowControl w:val="0"/>
        <w:kinsoku/>
        <w:wordWrap/>
        <w:overflowPunct/>
        <w:topLinePunct w:val="0"/>
        <w:autoSpaceDE/>
        <w:autoSpaceDN/>
        <w:bidi w:val="0"/>
        <w:adjustRightInd/>
        <w:spacing w:line="460" w:lineRule="exact"/>
        <w:ind w:firstLine="240" w:firstLineChars="100"/>
        <w:textAlignment w:val="auto"/>
        <w:outlineLvl w:val="9"/>
        <w:rPr>
          <w:rFonts w:hint="eastAsia"/>
          <w:color w:val="FF0000"/>
          <w:sz w:val="24"/>
          <w:szCs w:val="24"/>
        </w:rPr>
      </w:pPr>
      <w:r>
        <w:rPr>
          <w:rFonts w:hint="eastAsia" w:ascii="宋体" w:hAnsi="宋体" w:cs="Arial"/>
          <w:color w:val="auto"/>
          <w:sz w:val="24"/>
          <w:szCs w:val="24"/>
        </w:rPr>
        <w:t>（二）明细报价表（格式）</w:t>
      </w:r>
    </w:p>
    <w:p>
      <w:pPr>
        <w:keepNext w:val="0"/>
        <w:keepLines w:val="0"/>
        <w:pageBreakBefore w:val="0"/>
        <w:widowControl w:val="0"/>
        <w:numPr>
          <w:ilvl w:val="0"/>
          <w:numId w:val="6"/>
        </w:numPr>
        <w:kinsoku/>
        <w:wordWrap/>
        <w:overflowPunct/>
        <w:topLinePunct w:val="0"/>
        <w:autoSpaceDE/>
        <w:autoSpaceDN/>
        <w:bidi w:val="0"/>
        <w:adjustRightInd/>
        <w:spacing w:line="460" w:lineRule="exact"/>
        <w:textAlignment w:val="auto"/>
        <w:outlineLvl w:val="9"/>
        <w:rPr>
          <w:b/>
          <w:bCs/>
          <w:color w:val="auto"/>
          <w:sz w:val="24"/>
          <w:szCs w:val="24"/>
        </w:rPr>
      </w:pPr>
      <w:r>
        <w:rPr>
          <w:rFonts w:hint="eastAsia"/>
          <w:b/>
          <w:bCs/>
          <w:color w:val="auto"/>
          <w:sz w:val="24"/>
          <w:szCs w:val="24"/>
        </w:rPr>
        <w:t>其他文件</w:t>
      </w:r>
    </w:p>
    <w:p>
      <w:pPr>
        <w:keepNext w:val="0"/>
        <w:keepLines w:val="0"/>
        <w:pageBreakBefore w:val="0"/>
        <w:widowControl w:val="0"/>
        <w:kinsoku/>
        <w:wordWrap/>
        <w:overflowPunct/>
        <w:topLinePunct w:val="0"/>
        <w:autoSpaceDE/>
        <w:autoSpaceDN/>
        <w:bidi w:val="0"/>
        <w:adjustRightInd/>
        <w:spacing w:line="460" w:lineRule="exact"/>
        <w:textAlignment w:val="auto"/>
        <w:outlineLvl w:val="9"/>
        <w:rPr>
          <w:rFonts w:ascii="宋体" w:hAnsi="宋体" w:cs="Arial"/>
          <w:color w:val="auto"/>
          <w:sz w:val="24"/>
          <w:szCs w:val="24"/>
        </w:rPr>
      </w:pPr>
      <w:r>
        <w:rPr>
          <w:rFonts w:hint="eastAsia"/>
          <w:color w:val="auto"/>
          <w:sz w:val="24"/>
          <w:szCs w:val="24"/>
        </w:rPr>
        <w:t xml:space="preserve">    投标单位提供与评分有关的内容或者投标单位认为需要提供的其他文件（</w:t>
      </w:r>
      <w:r>
        <w:rPr>
          <w:rFonts w:hint="eastAsia" w:asciiTheme="minorEastAsia" w:hAnsiTheme="minorEastAsia"/>
          <w:color w:val="auto"/>
          <w:kern w:val="0"/>
          <w:sz w:val="24"/>
          <w:szCs w:val="24"/>
        </w:rPr>
        <w:t>每页加盖投标单位鲜章或骑缝章</w:t>
      </w:r>
      <w:r>
        <w:rPr>
          <w:rFonts w:hint="eastAsia"/>
          <w:color w:val="auto"/>
          <w:sz w:val="24"/>
          <w:szCs w:val="24"/>
        </w:rPr>
        <w:t>）</w:t>
      </w:r>
    </w:p>
    <w:p>
      <w:pPr>
        <w:spacing w:line="460" w:lineRule="exact"/>
        <w:rPr>
          <w:rFonts w:ascii="宋体" w:hAnsi="宋体" w:cs="Arial"/>
          <w:color w:val="auto"/>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eastAsia="宋体" w:cs="Arial"/>
          <w:sz w:val="24"/>
          <w:szCs w:val="24"/>
        </w:rPr>
      </w:pPr>
      <w:r>
        <w:rPr>
          <w:rFonts w:hint="eastAsia" w:ascii="宋体" w:hAnsi="宋体" w:cs="Arial"/>
          <w:sz w:val="24"/>
          <w:szCs w:val="24"/>
        </w:rPr>
        <w:t>以下为投标响应文件</w:t>
      </w:r>
    </w:p>
    <w:p>
      <w:pPr>
        <w:pStyle w:val="4"/>
        <w:pageBreakBefore w:val="0"/>
        <w:numPr>
          <w:ilvl w:val="0"/>
          <w:numId w:val="7"/>
        </w:numPr>
        <w:kinsoku/>
        <w:wordWrap/>
        <w:overflowPunct/>
        <w:topLinePunct w:val="0"/>
        <w:autoSpaceDE/>
        <w:autoSpaceDN/>
        <w:bidi w:val="0"/>
        <w:adjustRightInd/>
        <w:spacing w:line="460" w:lineRule="exact"/>
        <w:ind w:firstLine="562"/>
        <w:textAlignment w:val="auto"/>
        <w:rPr>
          <w:rFonts w:hint="eastAsia" w:asciiTheme="minorEastAsia" w:hAnsiTheme="minorEastAsia" w:eastAsiaTheme="minorEastAsia" w:cstheme="minorEastAsia"/>
          <w:snapToGrid w:val="0"/>
          <w:kern w:val="0"/>
          <w:sz w:val="24"/>
          <w:szCs w:val="24"/>
        </w:rPr>
      </w:pPr>
      <w:bookmarkStart w:id="38" w:name="_Toc372538174"/>
      <w:r>
        <w:rPr>
          <w:rFonts w:hint="eastAsia" w:asciiTheme="minorEastAsia" w:hAnsiTheme="minorEastAsia" w:eastAsiaTheme="minorEastAsia" w:cstheme="minorEastAsia"/>
          <w:snapToGrid w:val="0"/>
          <w:kern w:val="0"/>
          <w:sz w:val="24"/>
          <w:szCs w:val="24"/>
        </w:rPr>
        <w:t>资格文件</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（一）营业执照或者法人证书复印件（加盖投标单位鲜章）</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（二）特定资格条件复印件（加盖投标单位鲜章）</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三</w:t>
      </w:r>
      <w:r>
        <w:rPr>
          <w:rFonts w:hint="eastAsia" w:asciiTheme="minorEastAsia" w:hAnsiTheme="minorEastAsia" w:eastAsiaTheme="minorEastAsia" w:cstheme="minorEastAsia"/>
          <w:sz w:val="24"/>
          <w:szCs w:val="24"/>
        </w:rPr>
        <w:t>）法定代表人身份证明书或者法定代表人授权委托书</w:t>
      </w:r>
    </w:p>
    <w:p>
      <w:pPr>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法定代表人身份证明书</w:t>
      </w: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ind w:firstLine="74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（法定代表人姓名）在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（投标单位全称）任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（职务名称）职务，是__________________（投标单位全称）的法定代表人。</w:t>
      </w:r>
    </w:p>
    <w:p>
      <w:pPr>
        <w:pageBreakBefore w:val="0"/>
        <w:tabs>
          <w:tab w:val="left" w:pos="6300"/>
        </w:tabs>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ind w:firstLine="573"/>
        <w:textAlignment w:val="auto"/>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特此证明。</w:t>
      </w: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bl>
      <w:tblPr>
        <w:tblStyle w:val="12"/>
        <w:tblW w:w="822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1" w:hRule="atLeast"/>
        </w:trPr>
        <w:tc>
          <w:tcPr>
            <w:tcW w:w="8220" w:type="dxa"/>
          </w:tcPr>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法定代表人身份证正反面复印件</w:t>
            </w: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tc>
      </w:tr>
    </w:tbl>
    <w:p>
      <w:pPr>
        <w:pStyle w:val="4"/>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sz w:val="24"/>
          <w:szCs w:val="24"/>
        </w:rPr>
      </w:pPr>
      <w:bookmarkStart w:id="39" w:name="_Toc372538179"/>
      <w:r>
        <w:rPr>
          <w:rFonts w:hint="eastAsia" w:asciiTheme="minorEastAsia" w:hAnsiTheme="minorEastAsia" w:eastAsiaTheme="minorEastAsia" w:cstheme="minorEastAsia"/>
          <w:snapToGrid w:val="0"/>
          <w:kern w:val="0"/>
          <w:sz w:val="24"/>
          <w:szCs w:val="24"/>
        </w:rPr>
        <w:t>法定代表人授权委托书</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重庆中国三峡博物馆：</w:t>
      </w:r>
    </w:p>
    <w:p>
      <w:pPr>
        <w:pageBreakBefore w:val="0"/>
        <w:kinsoku/>
        <w:wordWrap/>
        <w:overflowPunct/>
        <w:topLinePunct w:val="0"/>
        <w:autoSpaceDE/>
        <w:autoSpaceDN/>
        <w:bidi w:val="0"/>
        <w:adjustRightIn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（投标单位名称）的法定代表人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（姓名）特授权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（被授权人姓名）身份证代码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代表我单位全权办理</w:t>
      </w:r>
      <w:r>
        <w:rPr>
          <w:rFonts w:hint="eastAsia" w:asciiTheme="minorEastAsia" w:hAnsiTheme="minorEastAsia" w:cstheme="minorEastAsia"/>
          <w:sz w:val="24"/>
          <w:szCs w:val="24"/>
          <w:u w:val="single"/>
          <w:lang w:eastAsia="zh-CN"/>
        </w:rPr>
        <w:t>三峡文物科技保护基地公共服务提升项目概念实施方案编制</w:t>
      </w:r>
      <w:r>
        <w:rPr>
          <w:rFonts w:hint="eastAsia" w:asciiTheme="minorEastAsia" w:hAnsiTheme="minorEastAsia" w:eastAsiaTheme="minorEastAsia" w:cstheme="minorEastAsia"/>
          <w:sz w:val="24"/>
          <w:szCs w:val="24"/>
        </w:rPr>
        <w:t>项目的投标、磋商、签约等工作，并签署全部有关文件、协议及合同。</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我单位对被授权人的签字负全部责任。</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在撤消被授权人的授权书面通知以前，本授权委托书一直有效。被授权人在授权委托书有效期内签署的所有文件不因授权的撤消而失效。</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被授权人：                 法定代表人：</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(签字或盖章)                (签字或盖章)     </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bl>
      <w:tblPr>
        <w:tblStyle w:val="12"/>
        <w:tblW w:w="819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0" w:hRule="atLeast"/>
        </w:trPr>
        <w:tc>
          <w:tcPr>
            <w:tcW w:w="8190" w:type="dxa"/>
          </w:tcPr>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被授权人身份证正反面复印件</w:t>
            </w: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tc>
      </w:tr>
      <w:bookmarkEnd w:id="39"/>
    </w:tbl>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四</w:t>
      </w:r>
      <w:r>
        <w:rPr>
          <w:rFonts w:hint="eastAsia" w:asciiTheme="minorEastAsia" w:hAnsiTheme="minorEastAsia" w:eastAsiaTheme="minorEastAsia" w:cstheme="minorEastAsia"/>
          <w:sz w:val="24"/>
          <w:szCs w:val="24"/>
        </w:rPr>
        <w:t>）诚信声明书（格式）</w:t>
      </w:r>
    </w:p>
    <w:p>
      <w:pPr>
        <w:pStyle w:val="4"/>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诚信声明书</w:t>
      </w:r>
    </w:p>
    <w:p>
      <w:pPr>
        <w:pageBreakBefore w:val="0"/>
        <w:kinsoku/>
        <w:wordWrap/>
        <w:overflowPunct/>
        <w:topLinePunct w:val="0"/>
        <w:autoSpaceDE/>
        <w:autoSpaceDN/>
        <w:bidi w:val="0"/>
        <w:adjustRightInd/>
        <w:spacing w:line="460" w:lineRule="exact"/>
        <w:ind w:firstLine="480" w:firstLineChars="200"/>
        <w:jc w:val="center"/>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重庆中国三峡博物馆</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（投标单位名称）郑重声明：</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单位具有良好的商业信誉和诚实的商业道德，具有健全的财务会计制度，有依法缴纳税收和社会保障资金的良好记录，具有履行合同所必需的设备和专业技术能力，在合同签订前后随时愿意提供相关证明材料，我单位还同时声明本次采购活动前三年内，在经营活动中没有因违法经营受到刑事处罚或者责令停产停业、吊销许可证或者执照、较大数额罚款等重大违法记录，符合《中华人民共和国政府采购法》、《中华人民共和国政府采购法实施条例》规定的供应商资格条件，我方所提供的投标文件均已经过认真、严格的审核，其内容均为合法真实、准确有效且毫无遗漏和保留，绝无任何虚假、伪造和夸大的成份。</w:t>
      </w:r>
    </w:p>
    <w:p>
      <w:pPr>
        <w:pageBreakBefore w:val="0"/>
        <w:kinsoku/>
        <w:wordWrap/>
        <w:overflowPunct/>
        <w:topLinePunct w:val="0"/>
        <w:autoSpaceDE/>
        <w:autoSpaceDN/>
        <w:bidi w:val="0"/>
        <w:adjustRightInd/>
        <w:spacing w:line="46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我方对以上声明负全部法律责任。</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特此声明！</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ind w:right="54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法定代表人或被授权代表：</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（签字或盖章）</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（五）业绩（合同复印件加盖投标单位公章）</w:t>
      </w:r>
    </w:p>
    <w:p>
      <w:pPr>
        <w:pageBreakBefore w:val="0"/>
        <w:numPr>
          <w:ilvl w:val="0"/>
          <w:numId w:val="8"/>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snapToGrid w:val="0"/>
          <w:kern w:val="0"/>
          <w:sz w:val="24"/>
          <w:szCs w:val="24"/>
        </w:rPr>
      </w:pPr>
      <w:r>
        <w:rPr>
          <w:rFonts w:hint="eastAsia" w:asciiTheme="minorEastAsia" w:hAnsiTheme="minorEastAsia" w:eastAsiaTheme="minorEastAsia" w:cstheme="minorEastAsia"/>
          <w:b/>
          <w:snapToGrid w:val="0"/>
          <w:kern w:val="0"/>
          <w:sz w:val="24"/>
          <w:szCs w:val="24"/>
        </w:rPr>
        <w:t>技术文件</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（一）服务方案（格式、内容自拟，每页加盖投标单位鲜章或骑缝章）</w:t>
      </w:r>
    </w:p>
    <w:p>
      <w:pPr>
        <w:pageBreakBefore w:val="0"/>
        <w:numPr>
          <w:ilvl w:val="0"/>
          <w:numId w:val="9"/>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经济文件</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（一）报价函（格式）</w:t>
      </w:r>
    </w:p>
    <w:p>
      <w:pPr>
        <w:pStyle w:val="4"/>
        <w:pageBreakBefore w:val="0"/>
        <w:kinsoku/>
        <w:wordWrap/>
        <w:overflowPunct/>
        <w:topLinePunct w:val="0"/>
        <w:autoSpaceDE/>
        <w:autoSpaceDN/>
        <w:bidi w:val="0"/>
        <w:adjustRightInd/>
        <w:spacing w:line="460" w:lineRule="exact"/>
        <w:ind w:firstLine="562"/>
        <w:jc w:val="center"/>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报 价 函</w:t>
      </w:r>
      <w:bookmarkEnd w:id="38"/>
      <w:bookmarkStart w:id="40" w:name="_Toc372538175"/>
    </w:p>
    <w:p>
      <w:pPr>
        <w:pStyle w:val="4"/>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重庆中国三峡博物馆：</w:t>
      </w:r>
    </w:p>
    <w:p>
      <w:pPr>
        <w:pStyle w:val="4"/>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我单位收到贵单位</w:t>
      </w:r>
      <w:r>
        <w:rPr>
          <w:rFonts w:hint="eastAsia" w:asciiTheme="minorEastAsia" w:hAnsiTheme="minorEastAsia" w:eastAsiaTheme="minorEastAsia" w:cstheme="minorEastAsia"/>
          <w:sz w:val="24"/>
          <w:szCs w:val="24"/>
          <w:u w:val="single"/>
        </w:rPr>
        <w:t>《三峡文物科技保护基地公共服务提升项目概念实施方案编制询比文件》</w:t>
      </w:r>
      <w:r>
        <w:rPr>
          <w:rFonts w:hint="eastAsia" w:asciiTheme="minorEastAsia" w:hAnsiTheme="minorEastAsia" w:eastAsiaTheme="minorEastAsia" w:cstheme="minorEastAsia"/>
          <w:sz w:val="24"/>
          <w:szCs w:val="24"/>
        </w:rPr>
        <w:t>，通过我单位的授权代表，向贵单位递交全套投标文件参与下列项目的投标报价，现为我单位的一切投标行为作郑重承诺及声明如下：</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报价项目名称：</w:t>
      </w:r>
      <w:r>
        <w:rPr>
          <w:rFonts w:hint="eastAsia" w:asciiTheme="minorEastAsia" w:hAnsiTheme="minorEastAsia" w:cstheme="minorEastAsia"/>
          <w:sz w:val="24"/>
          <w:szCs w:val="24"/>
          <w:u w:val="single"/>
          <w:lang w:eastAsia="zh-CN"/>
        </w:rPr>
        <w:t>三峡文物科技保护基地公共服务提升项目概念实施方案编制</w:t>
      </w:r>
      <w:r>
        <w:rPr>
          <w:rFonts w:hint="eastAsia" w:asciiTheme="minorEastAsia" w:hAnsiTheme="minorEastAsia" w:eastAsiaTheme="minorEastAsia" w:cstheme="minorEastAsia"/>
          <w:sz w:val="24"/>
          <w:szCs w:val="24"/>
        </w:rPr>
        <w:t>。</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sz w:val="24"/>
          <w:szCs w:val="24"/>
        </w:rPr>
        <w:t>2.  我单位已认真阅读了</w:t>
      </w:r>
      <w:r>
        <w:rPr>
          <w:rFonts w:hint="eastAsia" w:asciiTheme="minorEastAsia" w:hAnsiTheme="minorEastAsia" w:eastAsiaTheme="minorEastAsia" w:cstheme="minorEastAsia"/>
          <w:sz w:val="24"/>
          <w:szCs w:val="24"/>
          <w:u w:val="single"/>
        </w:rPr>
        <w:t>《三峡文物科技保护基地公共服务提升项目概念实施方案编制询比文件》</w:t>
      </w:r>
      <w:r>
        <w:rPr>
          <w:rFonts w:hint="eastAsia" w:asciiTheme="minorEastAsia" w:hAnsiTheme="minorEastAsia" w:eastAsiaTheme="minorEastAsia" w:cstheme="minorEastAsia"/>
          <w:sz w:val="24"/>
          <w:szCs w:val="24"/>
        </w:rPr>
        <w:t>，完全清楚理解其内容及规约，同意接受采购文件的要求，均没有任何异议、质疑和误解之处。</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报价有效期为自递交报价文件起至中标单位确定止，若我单位获成交资格，报价有效期则相应延长至本项目最终验收合格并结算完毕之日，不论在任何时候，将按贵单位的要求在规定时间内保质保量地完成任务。</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我单位完全服从和尊重评审结果和决定。</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同意按询比文件要求认真履行成交人的义务，若我方行为不当而损害了贵单位的合法权益，我单位愿在任何时候无条件承担相应的缔约过失责任和经济赔偿。</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我单位在本次投标活动中，不以任何不正当的手段影响、串通、排斥有关当事人或谋取、施予非法利益，如有行为不当，愿独自承担此行为所造成的后果和法律责任。</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  以上承诺均涵盖整套投标文件。</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  按询比文件要求，我单位愿意以（人民币）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），作为此次投标的最终报价。</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法定代表人或被授权代表：</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（签字或盖章）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投标单位（全称）：        （公章）</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联系电话：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 </w:t>
      </w:r>
      <w:bookmarkEnd w:id="40"/>
    </w:p>
    <w:p>
      <w:pPr>
        <w:pageBreakBefore w:val="0"/>
        <w:numPr>
          <w:ilvl w:val="0"/>
          <w:numId w:val="10"/>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napToGrid w:val="0"/>
          <w:color w:val="auto"/>
          <w:kern w:val="0"/>
          <w:sz w:val="24"/>
          <w:szCs w:val="24"/>
        </w:rPr>
      </w:pPr>
      <w:r>
        <w:rPr>
          <w:rFonts w:hint="eastAsia" w:asciiTheme="minorEastAsia" w:hAnsiTheme="minorEastAsia" w:cstheme="minorEastAsia"/>
          <w:snapToGrid w:val="0"/>
          <w:color w:val="auto"/>
          <w:kern w:val="0"/>
          <w:sz w:val="24"/>
          <w:szCs w:val="24"/>
          <w:lang w:val="en-US" w:eastAsia="zh-CN"/>
        </w:rPr>
        <w:t>明细报价表</w:t>
      </w:r>
      <w:r>
        <w:rPr>
          <w:rFonts w:hint="eastAsia" w:asciiTheme="minorEastAsia" w:hAnsiTheme="minorEastAsia" w:eastAsiaTheme="minorEastAsia" w:cstheme="minorEastAsia"/>
          <w:snapToGrid w:val="0"/>
          <w:color w:val="auto"/>
          <w:kern w:val="0"/>
          <w:sz w:val="24"/>
          <w:szCs w:val="24"/>
        </w:rPr>
        <w:t>（格式）</w:t>
      </w:r>
    </w:p>
    <w:p>
      <w:pPr>
        <w:pageBreakBefore w:val="0"/>
        <w:numPr>
          <w:ilvl w:val="0"/>
          <w:numId w:val="0"/>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napToGrid w:val="0"/>
          <w:color w:val="FF0000"/>
          <w:kern w:val="0"/>
          <w:sz w:val="24"/>
          <w:szCs w:val="24"/>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cstheme="minorEastAsia"/>
          <w:color w:val="auto"/>
          <w:sz w:val="24"/>
          <w:szCs w:val="24"/>
          <w:highlight w:val="none"/>
          <w:lang w:eastAsia="zh-CN"/>
        </w:rPr>
        <w:t>：三峡文物科技保护基地公共服务提升项目概念实施方案编制</w:t>
      </w:r>
    </w:p>
    <w:tbl>
      <w:tblPr>
        <w:tblStyle w:val="12"/>
        <w:tblW w:w="8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628"/>
        <w:gridCol w:w="2201"/>
        <w:gridCol w:w="1853"/>
        <w:gridCol w:w="799"/>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807" w:type="dxa"/>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628" w:type="dxa"/>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2201" w:type="dxa"/>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内容</w:t>
            </w:r>
          </w:p>
        </w:tc>
        <w:tc>
          <w:tcPr>
            <w:tcW w:w="1853" w:type="dxa"/>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综合单价</w:t>
            </w:r>
          </w:p>
        </w:tc>
        <w:tc>
          <w:tcPr>
            <w:tcW w:w="799" w:type="dxa"/>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241" w:type="dxa"/>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w:t>
            </w:r>
            <w:r>
              <w:rPr>
                <w:rFonts w:hint="eastAsia" w:asciiTheme="minorEastAsia" w:hAnsiTheme="minorEastAsia" w:eastAsiaTheme="minorEastAsia" w:cstheme="minorEastAsia"/>
                <w:color w:val="auto"/>
                <w:sz w:val="24"/>
                <w:szCs w:val="24"/>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jc w:val="center"/>
        </w:trPr>
        <w:tc>
          <w:tcPr>
            <w:tcW w:w="807" w:type="dxa"/>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628" w:type="dxa"/>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2201" w:type="dxa"/>
            <w:vAlign w:val="center"/>
          </w:tcPr>
          <w:p>
            <w:pPr>
              <w:pStyle w:val="2"/>
              <w:spacing w:line="360" w:lineRule="auto"/>
              <w:rPr>
                <w:rFonts w:hint="eastAsia" w:asciiTheme="minorEastAsia" w:hAnsiTheme="minorEastAsia" w:eastAsiaTheme="minorEastAsia" w:cstheme="minorEastAsia"/>
                <w:color w:val="auto"/>
                <w:sz w:val="24"/>
                <w:szCs w:val="24"/>
                <w:highlight w:val="none"/>
              </w:rPr>
            </w:pPr>
          </w:p>
        </w:tc>
        <w:tc>
          <w:tcPr>
            <w:tcW w:w="1853" w:type="dxa"/>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799" w:type="dxa"/>
          </w:tcPr>
          <w:p>
            <w:pPr>
              <w:tabs>
                <w:tab w:val="left" w:pos="312"/>
              </w:tabs>
              <w:rPr>
                <w:rFonts w:hint="eastAsia" w:asciiTheme="minorEastAsia" w:hAnsiTheme="minorEastAsia" w:eastAsiaTheme="minorEastAsia" w:cstheme="minorEastAsia"/>
                <w:color w:val="auto"/>
                <w:sz w:val="24"/>
                <w:szCs w:val="24"/>
                <w:highlight w:val="none"/>
              </w:rPr>
            </w:pPr>
          </w:p>
        </w:tc>
        <w:tc>
          <w:tcPr>
            <w:tcW w:w="1241" w:type="dxa"/>
            <w:vAlign w:val="center"/>
          </w:tcPr>
          <w:p>
            <w:pPr>
              <w:pStyle w:val="2"/>
              <w:spacing w:line="360" w:lineRule="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jc w:val="center"/>
        </w:trPr>
        <w:tc>
          <w:tcPr>
            <w:tcW w:w="807" w:type="dxa"/>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628" w:type="dxa"/>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2201" w:type="dxa"/>
            <w:vAlign w:val="center"/>
          </w:tcPr>
          <w:p>
            <w:pPr>
              <w:snapToGrid w:val="0"/>
              <w:spacing w:line="360" w:lineRule="auto"/>
              <w:rPr>
                <w:rFonts w:hint="eastAsia" w:asciiTheme="minorEastAsia" w:hAnsiTheme="minorEastAsia" w:eastAsiaTheme="minorEastAsia" w:cstheme="minorEastAsia"/>
                <w:color w:val="auto"/>
                <w:sz w:val="24"/>
                <w:szCs w:val="24"/>
                <w:highlight w:val="none"/>
              </w:rPr>
            </w:pPr>
          </w:p>
        </w:tc>
        <w:tc>
          <w:tcPr>
            <w:tcW w:w="1853" w:type="dxa"/>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799" w:type="dxa"/>
          </w:tcPr>
          <w:p>
            <w:pPr>
              <w:rPr>
                <w:rFonts w:hint="eastAsia" w:asciiTheme="minorEastAsia" w:hAnsiTheme="minorEastAsia" w:eastAsiaTheme="minorEastAsia" w:cstheme="minorEastAsia"/>
                <w:color w:val="auto"/>
                <w:sz w:val="24"/>
                <w:szCs w:val="24"/>
                <w:highlight w:val="none"/>
              </w:rPr>
            </w:pPr>
          </w:p>
        </w:tc>
        <w:tc>
          <w:tcPr>
            <w:tcW w:w="1241" w:type="dxa"/>
            <w:vAlign w:val="center"/>
          </w:tcPr>
          <w:p>
            <w:pPr>
              <w:pStyle w:val="2"/>
              <w:spacing w:line="360" w:lineRule="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jc w:val="center"/>
        </w:trPr>
        <w:tc>
          <w:tcPr>
            <w:tcW w:w="807" w:type="dxa"/>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628" w:type="dxa"/>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2201" w:type="dxa"/>
            <w:vAlign w:val="center"/>
          </w:tcPr>
          <w:p>
            <w:pPr>
              <w:pStyle w:val="2"/>
              <w:spacing w:line="360" w:lineRule="auto"/>
              <w:rPr>
                <w:rFonts w:hint="eastAsia" w:asciiTheme="minorEastAsia" w:hAnsiTheme="minorEastAsia" w:eastAsiaTheme="minorEastAsia" w:cstheme="minorEastAsia"/>
                <w:color w:val="auto"/>
                <w:sz w:val="24"/>
                <w:szCs w:val="24"/>
                <w:highlight w:val="none"/>
              </w:rPr>
            </w:pPr>
          </w:p>
        </w:tc>
        <w:tc>
          <w:tcPr>
            <w:tcW w:w="1853" w:type="dxa"/>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799" w:type="dxa"/>
          </w:tcPr>
          <w:p>
            <w:pPr>
              <w:rPr>
                <w:rFonts w:hint="eastAsia" w:asciiTheme="minorEastAsia" w:hAnsiTheme="minorEastAsia" w:eastAsiaTheme="minorEastAsia" w:cstheme="minorEastAsia"/>
                <w:color w:val="auto"/>
                <w:sz w:val="24"/>
                <w:szCs w:val="24"/>
                <w:highlight w:val="none"/>
              </w:rPr>
            </w:pPr>
          </w:p>
        </w:tc>
        <w:tc>
          <w:tcPr>
            <w:tcW w:w="1241" w:type="dxa"/>
            <w:vAlign w:val="center"/>
          </w:tcPr>
          <w:p>
            <w:pPr>
              <w:pStyle w:val="2"/>
              <w:spacing w:line="360" w:lineRule="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807" w:type="dxa"/>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628" w:type="dxa"/>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2201" w:type="dxa"/>
            <w:vAlign w:val="center"/>
          </w:tcPr>
          <w:p>
            <w:pPr>
              <w:pStyle w:val="2"/>
              <w:spacing w:line="360" w:lineRule="auto"/>
              <w:rPr>
                <w:rFonts w:hint="eastAsia" w:asciiTheme="minorEastAsia" w:hAnsiTheme="minorEastAsia" w:eastAsiaTheme="minorEastAsia" w:cstheme="minorEastAsia"/>
                <w:color w:val="auto"/>
                <w:sz w:val="24"/>
                <w:szCs w:val="24"/>
                <w:highlight w:val="none"/>
              </w:rPr>
            </w:pPr>
          </w:p>
        </w:tc>
        <w:tc>
          <w:tcPr>
            <w:tcW w:w="1853" w:type="dxa"/>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799" w:type="dxa"/>
          </w:tcPr>
          <w:p>
            <w:pPr>
              <w:rPr>
                <w:rFonts w:hint="eastAsia" w:asciiTheme="minorEastAsia" w:hAnsiTheme="minorEastAsia" w:eastAsiaTheme="minorEastAsia" w:cstheme="minorEastAsia"/>
                <w:color w:val="auto"/>
                <w:sz w:val="24"/>
                <w:szCs w:val="24"/>
                <w:highlight w:val="none"/>
              </w:rPr>
            </w:pPr>
          </w:p>
        </w:tc>
        <w:tc>
          <w:tcPr>
            <w:tcW w:w="1241" w:type="dxa"/>
            <w:vAlign w:val="center"/>
          </w:tcPr>
          <w:p>
            <w:pPr>
              <w:pStyle w:val="2"/>
              <w:spacing w:line="360" w:lineRule="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jc w:val="center"/>
        </w:trPr>
        <w:tc>
          <w:tcPr>
            <w:tcW w:w="807" w:type="dxa"/>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628" w:type="dxa"/>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2201" w:type="dxa"/>
            <w:vAlign w:val="center"/>
          </w:tcPr>
          <w:p>
            <w:pPr>
              <w:pStyle w:val="2"/>
              <w:spacing w:line="360" w:lineRule="auto"/>
              <w:rPr>
                <w:rFonts w:hint="eastAsia" w:asciiTheme="minorEastAsia" w:hAnsiTheme="minorEastAsia" w:eastAsiaTheme="minorEastAsia" w:cstheme="minorEastAsia"/>
                <w:color w:val="auto"/>
                <w:sz w:val="24"/>
                <w:szCs w:val="24"/>
                <w:highlight w:val="none"/>
              </w:rPr>
            </w:pPr>
          </w:p>
        </w:tc>
        <w:tc>
          <w:tcPr>
            <w:tcW w:w="1853" w:type="dxa"/>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799" w:type="dxa"/>
          </w:tcPr>
          <w:p>
            <w:pPr>
              <w:rPr>
                <w:rFonts w:hint="eastAsia" w:asciiTheme="minorEastAsia" w:hAnsiTheme="minorEastAsia" w:eastAsiaTheme="minorEastAsia" w:cstheme="minorEastAsia"/>
                <w:color w:val="auto"/>
                <w:sz w:val="24"/>
                <w:szCs w:val="24"/>
                <w:highlight w:val="none"/>
              </w:rPr>
            </w:pPr>
          </w:p>
        </w:tc>
        <w:tc>
          <w:tcPr>
            <w:tcW w:w="1241" w:type="dxa"/>
            <w:vAlign w:val="center"/>
          </w:tcPr>
          <w:p>
            <w:pPr>
              <w:pStyle w:val="2"/>
              <w:spacing w:line="360" w:lineRule="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07" w:type="dxa"/>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628" w:type="dxa"/>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2201" w:type="dxa"/>
            <w:vAlign w:val="center"/>
          </w:tcPr>
          <w:p>
            <w:pPr>
              <w:pStyle w:val="2"/>
              <w:spacing w:line="360" w:lineRule="auto"/>
              <w:rPr>
                <w:rFonts w:hint="eastAsia" w:asciiTheme="minorEastAsia" w:hAnsiTheme="minorEastAsia" w:eastAsiaTheme="minorEastAsia" w:cstheme="minorEastAsia"/>
                <w:color w:val="auto"/>
                <w:sz w:val="24"/>
                <w:szCs w:val="24"/>
                <w:highlight w:val="none"/>
              </w:rPr>
            </w:pPr>
          </w:p>
        </w:tc>
        <w:tc>
          <w:tcPr>
            <w:tcW w:w="1853" w:type="dxa"/>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799" w:type="dxa"/>
          </w:tcPr>
          <w:p>
            <w:pPr>
              <w:rPr>
                <w:rFonts w:hint="eastAsia" w:asciiTheme="minorEastAsia" w:hAnsiTheme="minorEastAsia" w:eastAsiaTheme="minorEastAsia" w:cstheme="minorEastAsia"/>
                <w:color w:val="auto"/>
                <w:sz w:val="24"/>
                <w:szCs w:val="24"/>
                <w:highlight w:val="none"/>
              </w:rPr>
            </w:pPr>
          </w:p>
        </w:tc>
        <w:tc>
          <w:tcPr>
            <w:tcW w:w="1241" w:type="dxa"/>
            <w:vAlign w:val="center"/>
          </w:tcPr>
          <w:p>
            <w:pPr>
              <w:pStyle w:val="2"/>
              <w:spacing w:line="360" w:lineRule="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07" w:type="dxa"/>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628" w:type="dxa"/>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2201" w:type="dxa"/>
            <w:vAlign w:val="center"/>
          </w:tcPr>
          <w:p>
            <w:pPr>
              <w:pStyle w:val="2"/>
              <w:spacing w:line="360" w:lineRule="auto"/>
              <w:rPr>
                <w:rFonts w:hint="eastAsia" w:asciiTheme="minorEastAsia" w:hAnsiTheme="minorEastAsia" w:eastAsiaTheme="minorEastAsia" w:cstheme="minorEastAsia"/>
                <w:color w:val="auto"/>
                <w:sz w:val="24"/>
                <w:szCs w:val="24"/>
                <w:highlight w:val="none"/>
              </w:rPr>
            </w:pPr>
          </w:p>
        </w:tc>
        <w:tc>
          <w:tcPr>
            <w:tcW w:w="1853" w:type="dxa"/>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799" w:type="dxa"/>
          </w:tcPr>
          <w:p>
            <w:pPr>
              <w:rPr>
                <w:rFonts w:hint="eastAsia" w:asciiTheme="minorEastAsia" w:hAnsiTheme="minorEastAsia" w:eastAsiaTheme="minorEastAsia" w:cstheme="minorEastAsia"/>
                <w:color w:val="auto"/>
                <w:sz w:val="24"/>
                <w:szCs w:val="24"/>
                <w:highlight w:val="none"/>
              </w:rPr>
            </w:pPr>
          </w:p>
        </w:tc>
        <w:tc>
          <w:tcPr>
            <w:tcW w:w="1241" w:type="dxa"/>
            <w:vAlign w:val="center"/>
          </w:tcPr>
          <w:p>
            <w:pPr>
              <w:pStyle w:val="2"/>
              <w:spacing w:line="360" w:lineRule="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07" w:type="dxa"/>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628" w:type="dxa"/>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2201" w:type="dxa"/>
            <w:vAlign w:val="center"/>
          </w:tcPr>
          <w:p>
            <w:pPr>
              <w:pStyle w:val="2"/>
              <w:spacing w:line="360" w:lineRule="auto"/>
              <w:rPr>
                <w:rFonts w:hint="eastAsia" w:asciiTheme="minorEastAsia" w:hAnsiTheme="minorEastAsia" w:eastAsiaTheme="minorEastAsia" w:cstheme="minorEastAsia"/>
                <w:color w:val="auto"/>
                <w:sz w:val="24"/>
                <w:szCs w:val="24"/>
                <w:highlight w:val="none"/>
              </w:rPr>
            </w:pPr>
          </w:p>
        </w:tc>
        <w:tc>
          <w:tcPr>
            <w:tcW w:w="1853" w:type="dxa"/>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799" w:type="dxa"/>
          </w:tcPr>
          <w:p>
            <w:pPr>
              <w:rPr>
                <w:rFonts w:hint="eastAsia" w:asciiTheme="minorEastAsia" w:hAnsiTheme="minorEastAsia" w:eastAsiaTheme="minorEastAsia" w:cstheme="minorEastAsia"/>
                <w:color w:val="auto"/>
                <w:sz w:val="24"/>
                <w:szCs w:val="24"/>
                <w:highlight w:val="none"/>
              </w:rPr>
            </w:pPr>
          </w:p>
        </w:tc>
        <w:tc>
          <w:tcPr>
            <w:tcW w:w="1241" w:type="dxa"/>
            <w:vAlign w:val="center"/>
          </w:tcPr>
          <w:p>
            <w:pPr>
              <w:pStyle w:val="2"/>
              <w:spacing w:line="360" w:lineRule="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07" w:type="dxa"/>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628" w:type="dxa"/>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2201" w:type="dxa"/>
            <w:vAlign w:val="center"/>
          </w:tcPr>
          <w:p>
            <w:pPr>
              <w:pStyle w:val="2"/>
              <w:spacing w:line="360" w:lineRule="auto"/>
              <w:rPr>
                <w:rFonts w:hint="eastAsia" w:asciiTheme="minorEastAsia" w:hAnsiTheme="minorEastAsia" w:eastAsiaTheme="minorEastAsia" w:cstheme="minorEastAsia"/>
                <w:color w:val="auto"/>
                <w:sz w:val="24"/>
                <w:szCs w:val="24"/>
                <w:highlight w:val="none"/>
              </w:rPr>
            </w:pPr>
          </w:p>
        </w:tc>
        <w:tc>
          <w:tcPr>
            <w:tcW w:w="1853" w:type="dxa"/>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799" w:type="dxa"/>
          </w:tcPr>
          <w:p>
            <w:pPr>
              <w:rPr>
                <w:rFonts w:hint="eastAsia" w:asciiTheme="minorEastAsia" w:hAnsiTheme="minorEastAsia" w:eastAsiaTheme="minorEastAsia" w:cstheme="minorEastAsia"/>
                <w:color w:val="auto"/>
                <w:sz w:val="24"/>
                <w:szCs w:val="24"/>
                <w:highlight w:val="none"/>
              </w:rPr>
            </w:pPr>
          </w:p>
        </w:tc>
        <w:tc>
          <w:tcPr>
            <w:tcW w:w="1241" w:type="dxa"/>
            <w:vAlign w:val="center"/>
          </w:tcPr>
          <w:p>
            <w:pPr>
              <w:pStyle w:val="2"/>
              <w:spacing w:line="360" w:lineRule="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07" w:type="dxa"/>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1628" w:type="dxa"/>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2201" w:type="dxa"/>
            <w:vAlign w:val="center"/>
          </w:tcPr>
          <w:p>
            <w:pPr>
              <w:pStyle w:val="2"/>
              <w:spacing w:line="360" w:lineRule="auto"/>
              <w:rPr>
                <w:rFonts w:hint="eastAsia" w:asciiTheme="minorEastAsia" w:hAnsiTheme="minorEastAsia" w:eastAsiaTheme="minorEastAsia" w:cstheme="minorEastAsia"/>
                <w:color w:val="auto"/>
                <w:sz w:val="24"/>
                <w:szCs w:val="24"/>
                <w:highlight w:val="none"/>
              </w:rPr>
            </w:pPr>
          </w:p>
        </w:tc>
        <w:tc>
          <w:tcPr>
            <w:tcW w:w="1853" w:type="dxa"/>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799" w:type="dxa"/>
          </w:tcPr>
          <w:p>
            <w:pPr>
              <w:rPr>
                <w:rFonts w:hint="eastAsia" w:asciiTheme="minorEastAsia" w:hAnsiTheme="minorEastAsia" w:eastAsiaTheme="minorEastAsia" w:cstheme="minorEastAsia"/>
                <w:color w:val="auto"/>
                <w:sz w:val="24"/>
                <w:szCs w:val="24"/>
                <w:highlight w:val="none"/>
              </w:rPr>
            </w:pPr>
          </w:p>
        </w:tc>
        <w:tc>
          <w:tcPr>
            <w:tcW w:w="1241" w:type="dxa"/>
            <w:vAlign w:val="center"/>
          </w:tcPr>
          <w:p>
            <w:pPr>
              <w:pStyle w:val="2"/>
              <w:spacing w:line="360" w:lineRule="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2435" w:type="dxa"/>
            <w:gridSpan w:val="2"/>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 计（与报价函的报价一致，如不一致，以</w:t>
            </w:r>
            <w:r>
              <w:rPr>
                <w:rFonts w:hint="eastAsia" w:asciiTheme="minorEastAsia" w:hAnsiTheme="minorEastAsia" w:eastAsiaTheme="minorEastAsia" w:cstheme="minorEastAsia"/>
                <w:color w:val="auto"/>
                <w:sz w:val="24"/>
                <w:szCs w:val="24"/>
                <w:highlight w:val="none"/>
                <w:lang w:eastAsia="zh-CN"/>
              </w:rPr>
              <w:t>最小金额</w:t>
            </w:r>
            <w:r>
              <w:rPr>
                <w:rFonts w:hint="eastAsia" w:asciiTheme="minorEastAsia" w:hAnsiTheme="minorEastAsia" w:eastAsiaTheme="minorEastAsia" w:cstheme="minorEastAsia"/>
                <w:color w:val="auto"/>
                <w:sz w:val="24"/>
                <w:szCs w:val="24"/>
                <w:highlight w:val="none"/>
              </w:rPr>
              <w:t>为准）</w:t>
            </w:r>
          </w:p>
        </w:tc>
        <w:tc>
          <w:tcPr>
            <w:tcW w:w="6094" w:type="dxa"/>
            <w:gridSpan w:val="4"/>
            <w:vAlign w:val="center"/>
          </w:tcPr>
          <w:p>
            <w:pPr>
              <w:snapToGrid w:val="0"/>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 xml:space="preserve">               小写： </w:t>
            </w:r>
          </w:p>
        </w:tc>
      </w:tr>
    </w:tbl>
    <w:p>
      <w:pPr>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（此表为样表，投标单位可根据各种资费内容自行设计）</w:t>
      </w:r>
    </w:p>
    <w:p>
      <w:pPr>
        <w:rPr>
          <w:rFonts w:hint="eastAsia" w:asciiTheme="minorEastAsia" w:hAnsiTheme="minorEastAsia" w:eastAsiaTheme="minorEastAsia" w:cstheme="minorEastAsia"/>
          <w:color w:val="auto"/>
          <w:sz w:val="24"/>
          <w:szCs w:val="24"/>
          <w:highlight w:val="none"/>
        </w:rPr>
      </w:pPr>
    </w:p>
    <w:p>
      <w:pPr>
        <w:spacing w:line="5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投标单位：</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法定代表人或被授权代表</w:t>
      </w:r>
      <w:r>
        <w:rPr>
          <w:rFonts w:hint="eastAsia" w:asciiTheme="minorEastAsia" w:hAnsiTheme="minorEastAsia" w:eastAsiaTheme="minorEastAsia" w:cstheme="minorEastAsia"/>
          <w:color w:val="auto"/>
          <w:sz w:val="24"/>
          <w:szCs w:val="24"/>
          <w:highlight w:val="none"/>
          <w:lang w:eastAsia="zh-CN"/>
        </w:rPr>
        <w:t>：</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投标单位</w:t>
      </w:r>
      <w:r>
        <w:rPr>
          <w:rFonts w:hint="eastAsia" w:asciiTheme="minorEastAsia" w:hAnsiTheme="minorEastAsia" w:eastAsiaTheme="minorEastAsia" w:cstheme="minorEastAsia"/>
          <w:color w:val="auto"/>
          <w:sz w:val="24"/>
          <w:szCs w:val="24"/>
          <w:highlight w:val="none"/>
        </w:rPr>
        <w:t>公章）</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（签字</w:t>
      </w:r>
      <w:r>
        <w:rPr>
          <w:rFonts w:hint="eastAsia" w:asciiTheme="minorEastAsia" w:hAnsiTheme="minorEastAsia" w:eastAsiaTheme="minorEastAsia" w:cstheme="minorEastAsia"/>
          <w:color w:val="auto"/>
          <w:sz w:val="24"/>
          <w:szCs w:val="24"/>
          <w:highlight w:val="none"/>
          <w:lang w:eastAsia="zh-CN"/>
        </w:rPr>
        <w:t>或盖章</w:t>
      </w:r>
      <w:r>
        <w:rPr>
          <w:rFonts w:hint="eastAsia" w:asciiTheme="minorEastAsia" w:hAnsiTheme="minorEastAsia" w:eastAsiaTheme="minorEastAsia" w:cstheme="minorEastAsia"/>
          <w:color w:val="auto"/>
          <w:sz w:val="24"/>
          <w:szCs w:val="24"/>
          <w:highlight w:val="none"/>
        </w:rPr>
        <w:t>） </w:t>
      </w:r>
      <w:r>
        <w:rPr>
          <w:rFonts w:hint="eastAsia" w:asciiTheme="minorEastAsia" w:hAnsiTheme="minorEastAsia" w:eastAsiaTheme="minorEastAsia" w:cstheme="minorEastAsia"/>
          <w:color w:val="auto"/>
          <w:sz w:val="24"/>
          <w:szCs w:val="24"/>
          <w:highlight w:val="none"/>
          <w:lang w:val="en-US" w:eastAsia="zh-CN"/>
        </w:rPr>
        <w:t xml:space="preserve">    </w:t>
      </w:r>
    </w:p>
    <w:p>
      <w:pPr>
        <w:pStyle w:val="8"/>
        <w:spacing w:line="360" w:lineRule="auto"/>
        <w:ind w:firstLine="3960" w:firstLineChars="1650"/>
        <w:rPr>
          <w:rFonts w:hint="eastAsia" w:asciiTheme="minorEastAsia" w:hAnsiTheme="minorEastAsia" w:eastAsiaTheme="minorEastAsia" w:cstheme="minorEastAsia"/>
          <w:snapToGrid w:val="0"/>
          <w:color w:val="FF0000"/>
          <w:kern w:val="0"/>
          <w:sz w:val="24"/>
          <w:szCs w:val="24"/>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     月    日</w:t>
      </w:r>
    </w:p>
    <w:p>
      <w:pPr>
        <w:pageBreakBefore w:val="0"/>
        <w:numPr>
          <w:ilvl w:val="0"/>
          <w:numId w:val="0"/>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napToGrid w:val="0"/>
          <w:color w:val="FF0000"/>
          <w:kern w:val="0"/>
          <w:sz w:val="24"/>
          <w:szCs w:val="24"/>
        </w:rPr>
      </w:pPr>
    </w:p>
    <w:p>
      <w:pPr>
        <w:pageBreakBefore w:val="0"/>
        <w:numPr>
          <w:ilvl w:val="0"/>
          <w:numId w:val="9"/>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其他文件（不作为必要要件）</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投标单位提供与评分有关的内容或者投标单位认为需要提供的其他文件（每页加盖投标单位鲜章或骑缝章）</w:t>
      </w:r>
    </w:p>
    <w:p>
      <w:pPr>
        <w:numPr>
          <w:ilvl w:val="0"/>
          <w:numId w:val="0"/>
        </w:numPr>
        <w:jc w:val="both"/>
        <w:rPr>
          <w:rFonts w:hint="eastAsia" w:ascii="宋体" w:hAnsi="宋体" w:cs="Arial"/>
          <w:snapToGrid w:val="0"/>
          <w:kern w:val="0"/>
          <w:sz w:val="30"/>
          <w:szCs w:val="30"/>
          <w:lang w:val="en-US" w:eastAsia="zh-CN"/>
        </w:rPr>
      </w:pPr>
    </w:p>
    <w:p/>
    <w:p/>
    <w:sectPr>
      <w:headerReference r:id="rId3" w:type="default"/>
      <w:footerReference r:id="rId4" w:type="default"/>
      <w:pgSz w:w="11907" w:h="16840"/>
      <w:pgMar w:top="1440" w:right="1797" w:bottom="1440" w:left="1797" w:header="851" w:footer="992" w:gutter="0"/>
      <w:pgBorders>
        <w:top w:val="none" w:color="auto" w:sz="0" w:space="0"/>
        <w:left w:val="none" w:color="auto" w:sz="0" w:space="0"/>
        <w:bottom w:val="none" w:color="auto" w:sz="0" w:space="0"/>
        <w:right w:val="none" w:color="auto" w:sz="0" w:space="0"/>
      </w:pgBorders>
      <w:pgNumType w:fmt="decimal"/>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DejaVu Sans">
    <w:altName w:val="Segoe Print"/>
    <w:panose1 w:val="020B0603030804020204"/>
    <w:charset w:val="00"/>
    <w:family w:val="auto"/>
    <w:pitch w:val="default"/>
    <w:sig w:usb0="00000000" w:usb1="00000000"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sz w:val="28"/>
      </w:rPr>
    </w:pPr>
    <w:r>
      <w:rPr>
        <w:rStyle w:val="11"/>
        <w:sz w:val="28"/>
      </w:rPr>
      <w:t>-</w:t>
    </w:r>
    <w:r>
      <w:rPr>
        <w:sz w:val="28"/>
      </w:rPr>
      <w:fldChar w:fldCharType="begin"/>
    </w:r>
    <w:r>
      <w:rPr>
        <w:rStyle w:val="11"/>
        <w:sz w:val="28"/>
      </w:rPr>
      <w:instrText xml:space="preserve">PAGE  </w:instrText>
    </w:r>
    <w:r>
      <w:rPr>
        <w:sz w:val="28"/>
      </w:rPr>
      <w:fldChar w:fldCharType="separate"/>
    </w:r>
    <w:r>
      <w:rPr>
        <w:rStyle w:val="11"/>
        <w:sz w:val="28"/>
      </w:rPr>
      <w:t>2</w:t>
    </w:r>
    <w:r>
      <w:rPr>
        <w:sz w:val="28"/>
      </w:rPr>
      <w:fldChar w:fldCharType="end"/>
    </w:r>
    <w:r>
      <w:rPr>
        <w:rStyle w:val="11"/>
        <w:sz w:val="28"/>
      </w:rPr>
      <w:t>-</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C596DF"/>
    <w:multiLevelType w:val="singleLevel"/>
    <w:tmpl w:val="B6C596DF"/>
    <w:lvl w:ilvl="0" w:tentative="0">
      <w:start w:val="2"/>
      <w:numFmt w:val="chineseCounting"/>
      <w:suff w:val="nothing"/>
      <w:lvlText w:val="（%1）"/>
      <w:lvlJc w:val="left"/>
      <w:rPr>
        <w:rFonts w:hint="eastAsia"/>
      </w:rPr>
    </w:lvl>
  </w:abstractNum>
  <w:abstractNum w:abstractNumId="1">
    <w:nsid w:val="00000003"/>
    <w:multiLevelType w:val="singleLevel"/>
    <w:tmpl w:val="00000003"/>
    <w:lvl w:ilvl="0" w:tentative="0">
      <w:start w:val="1"/>
      <w:numFmt w:val="decimal"/>
      <w:lvlText w:val="%1、"/>
      <w:lvlJc w:val="left"/>
      <w:pPr>
        <w:tabs>
          <w:tab w:val="left" w:pos="987"/>
        </w:tabs>
        <w:ind w:left="987" w:hanging="420"/>
      </w:pPr>
      <w:rPr>
        <w:rFonts w:hint="eastAsia"/>
      </w:rPr>
    </w:lvl>
  </w:abstractNum>
  <w:abstractNum w:abstractNumId="2">
    <w:nsid w:val="5A6FCD4C"/>
    <w:multiLevelType w:val="singleLevel"/>
    <w:tmpl w:val="5A6FCD4C"/>
    <w:lvl w:ilvl="0" w:tentative="0">
      <w:start w:val="1"/>
      <w:numFmt w:val="decimal"/>
      <w:suff w:val="nothing"/>
      <w:lvlText w:val="%1、"/>
      <w:lvlJc w:val="left"/>
    </w:lvl>
  </w:abstractNum>
  <w:abstractNum w:abstractNumId="3">
    <w:nsid w:val="5A710D63"/>
    <w:multiLevelType w:val="singleLevel"/>
    <w:tmpl w:val="5A710D63"/>
    <w:lvl w:ilvl="0" w:tentative="0">
      <w:start w:val="1"/>
      <w:numFmt w:val="decimal"/>
      <w:suff w:val="nothing"/>
      <w:lvlText w:val="%1、"/>
      <w:lvlJc w:val="left"/>
    </w:lvl>
  </w:abstractNum>
  <w:abstractNum w:abstractNumId="4">
    <w:nsid w:val="5A712F59"/>
    <w:multiLevelType w:val="singleLevel"/>
    <w:tmpl w:val="5A712F59"/>
    <w:lvl w:ilvl="0" w:tentative="0">
      <w:start w:val="2"/>
      <w:numFmt w:val="chineseCounting"/>
      <w:suff w:val="nothing"/>
      <w:lvlText w:val="%1、"/>
      <w:lvlJc w:val="left"/>
    </w:lvl>
  </w:abstractNum>
  <w:abstractNum w:abstractNumId="5">
    <w:nsid w:val="5A7131F6"/>
    <w:multiLevelType w:val="singleLevel"/>
    <w:tmpl w:val="5A7131F6"/>
    <w:lvl w:ilvl="0" w:tentative="0">
      <w:start w:val="1"/>
      <w:numFmt w:val="chineseCounting"/>
      <w:suff w:val="nothing"/>
      <w:lvlText w:val="%1、"/>
      <w:lvlJc w:val="left"/>
    </w:lvl>
  </w:abstractNum>
  <w:abstractNum w:abstractNumId="6">
    <w:nsid w:val="5A71356A"/>
    <w:multiLevelType w:val="singleLevel"/>
    <w:tmpl w:val="5A71356A"/>
    <w:lvl w:ilvl="0" w:tentative="0">
      <w:start w:val="2"/>
      <w:numFmt w:val="chineseCounting"/>
      <w:suff w:val="nothing"/>
      <w:lvlText w:val="%1、"/>
      <w:lvlJc w:val="left"/>
    </w:lvl>
  </w:abstractNum>
  <w:abstractNum w:abstractNumId="7">
    <w:nsid w:val="5A71394B"/>
    <w:multiLevelType w:val="singleLevel"/>
    <w:tmpl w:val="5A71394B"/>
    <w:lvl w:ilvl="0" w:tentative="0">
      <w:start w:val="3"/>
      <w:numFmt w:val="chineseCounting"/>
      <w:suff w:val="nothing"/>
      <w:lvlText w:val="%1、"/>
      <w:lvlJc w:val="left"/>
    </w:lvl>
  </w:abstractNum>
  <w:abstractNum w:abstractNumId="8">
    <w:nsid w:val="69AFCAC1"/>
    <w:multiLevelType w:val="singleLevel"/>
    <w:tmpl w:val="69AFCAC1"/>
    <w:lvl w:ilvl="0" w:tentative="0">
      <w:start w:val="1"/>
      <w:numFmt w:val="chineseCounting"/>
      <w:suff w:val="nothing"/>
      <w:lvlText w:val="%1、"/>
      <w:lvlJc w:val="left"/>
    </w:lvl>
  </w:abstractNum>
  <w:abstractNum w:abstractNumId="9">
    <w:nsid w:val="69AFCBE7"/>
    <w:multiLevelType w:val="singleLevel"/>
    <w:tmpl w:val="69AFCBE7"/>
    <w:lvl w:ilvl="0" w:tentative="0">
      <w:start w:val="2"/>
      <w:numFmt w:val="chineseCounting"/>
      <w:suff w:val="nothing"/>
      <w:lvlText w:val="（%1）"/>
      <w:lvlJc w:val="left"/>
    </w:lvl>
  </w:abstractNum>
  <w:num w:numId="1">
    <w:abstractNumId w:val="1"/>
  </w:num>
  <w:num w:numId="2">
    <w:abstractNumId w:val="0"/>
  </w:num>
  <w:num w:numId="3">
    <w:abstractNumId w:val="3"/>
  </w:num>
  <w:num w:numId="4">
    <w:abstractNumId w:val="2"/>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9B59CA"/>
    <w:rsid w:val="1AAF3627"/>
    <w:rsid w:val="1E9B59CA"/>
    <w:rsid w:val="37236006"/>
    <w:rsid w:val="3C4F05C5"/>
    <w:rsid w:val="3F1A65CF"/>
    <w:rsid w:val="4979566D"/>
    <w:rsid w:val="5BF41AB4"/>
    <w:rsid w:val="67AB0B50"/>
    <w:rsid w:val="758C0A3B"/>
    <w:rsid w:val="7E21103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snapToGrid w:val="0"/>
      <w:spacing w:line="360" w:lineRule="atLeast"/>
      <w:outlineLvl w:val="0"/>
    </w:pPr>
    <w:rPr>
      <w:rFonts w:ascii="宋体" w:hAnsiTheme="minorHAnsi" w:eastAsiaTheme="minorEastAsia" w:cstheme="minorBidi"/>
      <w:sz w:val="28"/>
      <w:szCs w:val="22"/>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rFonts w:eastAsia="宋体"/>
      <w:b/>
      <w:kern w:val="2"/>
      <w:sz w:val="32"/>
      <w:lang w:val="en-US" w:eastAsia="zh-CN" w:bidi="ar-SA"/>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0"/>
    <w:pPr>
      <w:keepNext w:val="0"/>
      <w:keepLines w:val="0"/>
      <w:widowControl w:val="0"/>
      <w:suppressLineNumbers w:val="0"/>
      <w:spacing w:before="0" w:beforeAutospacing="0" w:after="0" w:afterAutospacing="0"/>
      <w:ind w:left="0" w:right="0"/>
      <w:jc w:val="both"/>
    </w:pPr>
    <w:rPr>
      <w:rFonts w:hint="eastAsia" w:ascii="仿宋" w:hAnsi="仿宋" w:eastAsia="仿宋" w:cs="仿宋"/>
      <w:kern w:val="2"/>
      <w:sz w:val="21"/>
      <w:szCs w:val="21"/>
      <w:lang w:val="en-US" w:eastAsia="zh-CN" w:bidi="ar"/>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toc 1"/>
    <w:basedOn w:val="1"/>
    <w:next w:val="1"/>
    <w:qFormat/>
    <w:uiPriority w:val="0"/>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2026-03-10T03:28:00Z</dcterms:created>
  <dc:creator>user</dc:creator>
  <cp:lastModifiedBy>user</cp:lastModifiedBy>
  <dcterms:modified xsi:type="dcterms:W3CDTF">2026-04-15T01:30:28Z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