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sz w:val="72"/>
        </w:rPr>
      </w:pPr>
    </w:p>
    <w:p>
      <w:pPr>
        <w:jc w:val="center"/>
        <w:outlineLvl w:val="0"/>
        <w:rPr>
          <w:rFonts w:hint="eastAsia" w:ascii="宋体" w:hAnsi="宋体" w:cs="Arial"/>
          <w:color w:val="auto"/>
          <w:spacing w:val="80"/>
          <w:sz w:val="52"/>
          <w:szCs w:val="52"/>
        </w:rPr>
      </w:pPr>
      <w:r>
        <w:rPr>
          <w:rFonts w:hint="eastAsia" w:ascii="宋体" w:hAnsi="宋体" w:cs="Arial"/>
          <w:color w:val="auto"/>
          <w:spacing w:val="80"/>
          <w:sz w:val="52"/>
          <w:szCs w:val="52"/>
          <w:lang w:eastAsia="zh-CN"/>
        </w:rPr>
        <w:t>采购“财务内控一体化系统服务”</w:t>
      </w:r>
      <w:r>
        <w:rPr>
          <w:rFonts w:hint="eastAsia" w:ascii="宋体" w:hAnsi="宋体" w:cs="Arial"/>
          <w:color w:val="auto"/>
          <w:spacing w:val="80"/>
          <w:sz w:val="52"/>
          <w:szCs w:val="52"/>
        </w:rPr>
        <w:t>询</w:t>
      </w:r>
      <w:r>
        <w:rPr>
          <w:rFonts w:hint="eastAsia" w:ascii="宋体" w:hAnsi="宋体" w:cs="Arial"/>
          <w:color w:val="auto"/>
          <w:spacing w:val="80"/>
          <w:sz w:val="52"/>
          <w:szCs w:val="52"/>
          <w:lang w:eastAsia="zh-CN"/>
        </w:rPr>
        <w:t>比</w:t>
      </w:r>
      <w:r>
        <w:rPr>
          <w:rFonts w:hint="eastAsia" w:ascii="宋体" w:hAnsi="宋体" w:cs="Arial"/>
          <w:color w:val="auto"/>
          <w:spacing w:val="80"/>
          <w:sz w:val="52"/>
          <w:szCs w:val="52"/>
        </w:rPr>
        <w:t>文件</w:t>
      </w:r>
    </w:p>
    <w:p>
      <w:pPr>
        <w:spacing w:line="700" w:lineRule="exact"/>
        <w:jc w:val="center"/>
        <w:rPr>
          <w:rFonts w:hint="eastAsia" w:ascii="宋体" w:hAnsi="宋体" w:cs="Arial"/>
          <w:color w:val="auto"/>
          <w:sz w:val="52"/>
          <w:szCs w:val="52"/>
        </w:rPr>
      </w:pPr>
    </w:p>
    <w:p>
      <w:pPr>
        <w:tabs>
          <w:tab w:val="left" w:pos="2761"/>
          <w:tab w:val="left" w:pos="7352"/>
        </w:tabs>
        <w:spacing w:line="700" w:lineRule="exact"/>
        <w:jc w:val="left"/>
        <w:rPr>
          <w:rFonts w:hint="eastAsia" w:ascii="宋体" w:hAnsi="宋体" w:cs="Arial" w:eastAsiaTheme="minorEastAsia"/>
          <w:color w:val="auto"/>
          <w:sz w:val="32"/>
          <w:lang w:eastAsia="zh-CN"/>
        </w:rPr>
      </w:pPr>
      <w:r>
        <w:rPr>
          <w:rFonts w:hint="eastAsia" w:ascii="宋体" w:hAnsi="宋体" w:cs="Arial"/>
          <w:color w:val="auto"/>
          <w:sz w:val="32"/>
          <w:lang w:eastAsia="zh-CN"/>
        </w:rPr>
        <w:tab/>
      </w:r>
      <w:r>
        <w:rPr>
          <w:rFonts w:hint="eastAsia" w:ascii="宋体" w:hAnsi="宋体" w:cs="Arial"/>
          <w:color w:val="auto"/>
          <w:sz w:val="32"/>
          <w:lang w:eastAsia="zh-CN"/>
        </w:rPr>
        <w:tab/>
      </w:r>
    </w:p>
    <w:p>
      <w:pPr>
        <w:spacing w:line="700" w:lineRule="exact"/>
        <w:jc w:val="center"/>
        <w:rPr>
          <w:rFonts w:hint="eastAsia" w:ascii="宋体" w:hAnsi="宋体" w:cs="Arial"/>
          <w:color w:val="auto"/>
          <w:sz w:val="32"/>
        </w:rPr>
      </w:pPr>
    </w:p>
    <w:p>
      <w:pPr>
        <w:spacing w:line="700" w:lineRule="exact"/>
        <w:jc w:val="center"/>
        <w:rPr>
          <w:rFonts w:hint="eastAsia" w:ascii="宋体" w:hAnsi="宋体" w:cs="Arial"/>
          <w:color w:val="auto"/>
          <w:sz w:val="32"/>
        </w:rPr>
      </w:pPr>
    </w:p>
    <w:p>
      <w:pPr>
        <w:spacing w:line="700" w:lineRule="exact"/>
        <w:ind w:firstLine="1916" w:firstLineChars="599"/>
        <w:rPr>
          <w:rFonts w:hint="eastAsia" w:ascii="宋体" w:hAnsi="宋体" w:cs="Arial"/>
          <w:color w:val="auto"/>
          <w:sz w:val="32"/>
        </w:rPr>
      </w:pPr>
      <w:r>
        <w:rPr>
          <w:rFonts w:hint="eastAsia" w:ascii="宋体" w:hAnsi="宋体" w:cs="Arial"/>
          <w:color w:val="auto"/>
          <w:sz w:val="32"/>
        </w:rPr>
        <w:t>项目编号：内2</w:t>
      </w:r>
      <w:r>
        <w:rPr>
          <w:rFonts w:hint="eastAsia" w:ascii="宋体" w:hAnsi="宋体" w:cs="Arial"/>
          <w:color w:val="auto"/>
          <w:sz w:val="32"/>
          <w:lang w:val="en-US" w:eastAsia="zh-CN"/>
        </w:rPr>
        <w:t>6022</w:t>
      </w:r>
    </w:p>
    <w:p>
      <w:pPr>
        <w:spacing w:line="700" w:lineRule="exact"/>
        <w:ind w:left="3676" w:leftChars="684" w:hanging="2240" w:hangingChars="700"/>
        <w:rPr>
          <w:rFonts w:hint="eastAsia" w:ascii="宋体" w:hAnsi="宋体" w:cs="Arial"/>
          <w:color w:val="auto"/>
          <w:sz w:val="32"/>
        </w:rPr>
      </w:pPr>
      <w:r>
        <w:rPr>
          <w:rFonts w:hint="eastAsia" w:ascii="宋体" w:hAnsi="宋体" w:cs="Arial"/>
          <w:color w:val="auto"/>
          <w:sz w:val="32"/>
        </w:rPr>
        <w:t xml:space="preserve">   项目名称：</w:t>
      </w:r>
      <w:r>
        <w:rPr>
          <w:rFonts w:hint="eastAsia" w:ascii="宋体" w:hAnsi="宋体" w:cs="Arial"/>
          <w:color w:val="auto"/>
          <w:sz w:val="32"/>
          <w:lang w:eastAsia="zh-CN"/>
        </w:rPr>
        <w:t>采购“财务内控一体化系统服务”</w:t>
      </w:r>
      <w:r>
        <w:rPr>
          <w:rFonts w:hint="eastAsia" w:ascii="宋体" w:hAnsi="宋体" w:cs="Arial"/>
          <w:color w:val="auto"/>
          <w:sz w:val="32"/>
        </w:rPr>
        <w:t xml:space="preserve">   </w:t>
      </w:r>
    </w:p>
    <w:p>
      <w:pPr>
        <w:spacing w:line="700" w:lineRule="exact"/>
        <w:ind w:left="2716" w:leftChars="684" w:hanging="1280" w:hangingChars="400"/>
        <w:rPr>
          <w:rFonts w:hint="eastAsia" w:ascii="宋体" w:hAnsi="宋体" w:cs="Arial"/>
          <w:color w:val="auto"/>
          <w:sz w:val="32"/>
        </w:rPr>
      </w:pPr>
      <w:r>
        <w:rPr>
          <w:rFonts w:hint="eastAsia" w:ascii="宋体" w:hAnsi="宋体" w:cs="Arial"/>
          <w:color w:val="auto"/>
          <w:sz w:val="32"/>
          <w:lang w:val="en-US" w:eastAsia="zh-CN"/>
        </w:rPr>
        <w:t xml:space="preserve">   </w:t>
      </w:r>
      <w:r>
        <w:rPr>
          <w:rFonts w:hint="eastAsia" w:ascii="宋体" w:hAnsi="宋体" w:cs="Arial"/>
          <w:color w:val="auto"/>
          <w:sz w:val="32"/>
        </w:rPr>
        <w:t>采购</w:t>
      </w:r>
      <w:r>
        <w:rPr>
          <w:rFonts w:hint="eastAsia" w:ascii="宋体" w:hAnsi="宋体" w:cs="Arial"/>
          <w:color w:val="auto"/>
          <w:sz w:val="32"/>
          <w:lang w:eastAsia="zh-CN"/>
        </w:rPr>
        <w:t>单位</w:t>
      </w:r>
      <w:r>
        <w:rPr>
          <w:rFonts w:hint="eastAsia" w:ascii="宋体" w:hAnsi="宋体" w:cs="Arial"/>
          <w:color w:val="auto"/>
          <w:sz w:val="32"/>
        </w:rPr>
        <w:t>：重庆中国三峡博物馆</w:t>
      </w:r>
    </w:p>
    <w:p>
      <w:pPr>
        <w:spacing w:line="700" w:lineRule="exact"/>
        <w:jc w:val="center"/>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center"/>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both"/>
        <w:rPr>
          <w:rFonts w:hint="eastAsia" w:ascii="宋体" w:hAnsi="宋体" w:cs="Arial"/>
          <w:color w:val="auto"/>
          <w:sz w:val="32"/>
        </w:rPr>
      </w:pPr>
    </w:p>
    <w:p>
      <w:pPr>
        <w:spacing w:line="700" w:lineRule="exact"/>
        <w:jc w:val="center"/>
        <w:rPr>
          <w:rFonts w:hint="eastAsia" w:ascii="宋体" w:hAnsi="宋体" w:cs="Arial"/>
          <w:color w:val="auto"/>
          <w:sz w:val="32"/>
        </w:rPr>
      </w:pPr>
      <w:r>
        <w:rPr>
          <w:rFonts w:hint="eastAsia" w:ascii="宋体" w:hAnsi="宋体" w:cs="Arial"/>
          <w:color w:val="auto"/>
          <w:sz w:val="32"/>
        </w:rPr>
        <w:t>重庆中国三峡博物馆制</w:t>
      </w:r>
    </w:p>
    <w:p>
      <w:pPr>
        <w:spacing w:line="700" w:lineRule="exact"/>
        <w:jc w:val="center"/>
        <w:outlineLvl w:val="0"/>
        <w:rPr>
          <w:rFonts w:hint="eastAsia" w:ascii="宋体" w:hAnsi="宋体" w:eastAsia="宋体" w:cs="Arial"/>
          <w:color w:val="auto"/>
          <w:sz w:val="36"/>
        </w:rPr>
      </w:pPr>
      <w:r>
        <w:rPr>
          <w:rFonts w:hint="eastAsia" w:ascii="宋体" w:hAnsi="宋体" w:cs="Arial"/>
          <w:color w:val="auto"/>
          <w:sz w:val="32"/>
          <w:lang w:val="en-US" w:eastAsia="zh-CN"/>
        </w:rPr>
        <w:t xml:space="preserve"> 2026</w:t>
      </w:r>
      <w:r>
        <w:rPr>
          <w:rFonts w:hint="eastAsia" w:ascii="宋体" w:hAnsi="宋体" w:cs="Arial"/>
          <w:color w:val="auto"/>
          <w:sz w:val="32"/>
        </w:rPr>
        <w:t>年</w:t>
      </w:r>
      <w:r>
        <w:rPr>
          <w:rFonts w:hint="eastAsia" w:ascii="宋体" w:hAnsi="宋体" w:cs="Arial"/>
          <w:color w:val="auto"/>
          <w:sz w:val="32"/>
          <w:lang w:val="en-US" w:eastAsia="zh-CN"/>
        </w:rPr>
        <w:t>3</w:t>
      </w:r>
      <w:r>
        <w:rPr>
          <w:rFonts w:hint="eastAsia" w:ascii="宋体" w:hAnsi="宋体" w:cs="Arial"/>
          <w:color w:val="auto"/>
          <w:sz w:val="32"/>
        </w:rPr>
        <w:t>月</w:t>
      </w:r>
      <w:bookmarkStart w:id="0" w:name="_Toc11641050"/>
      <w:bookmarkStart w:id="1" w:name="_Toc25725118"/>
      <w:bookmarkStart w:id="2" w:name="_Toc372538149"/>
    </w:p>
    <w:p>
      <w:pPr>
        <w:spacing w:line="700" w:lineRule="exact"/>
        <w:jc w:val="center"/>
        <w:outlineLvl w:val="0"/>
        <w:rPr>
          <w:rStyle w:val="13"/>
          <w:rFonts w:hint="eastAsia" w:ascii="Arial" w:hAnsi="Arial" w:eastAsia="黑体" w:cstheme="minorBidi"/>
          <w:b/>
          <w:kern w:val="2"/>
          <w:sz w:val="32"/>
          <w:szCs w:val="22"/>
          <w:lang w:val="en-US" w:eastAsia="zh-CN" w:bidi="ar-SA"/>
        </w:rPr>
      </w:pPr>
      <w:r>
        <w:rPr>
          <w:rStyle w:val="13"/>
          <w:rFonts w:hint="eastAsia" w:ascii="Arial" w:hAnsi="Arial" w:eastAsia="黑体" w:cstheme="minorBidi"/>
          <w:b/>
          <w:kern w:val="2"/>
          <w:sz w:val="32"/>
          <w:szCs w:val="22"/>
          <w:lang w:val="en-US" w:eastAsia="zh-CN" w:bidi="ar-SA"/>
        </w:rPr>
        <w:t xml:space="preserve">第一篇  </w:t>
      </w:r>
      <w:bookmarkEnd w:id="0"/>
      <w:r>
        <w:rPr>
          <w:rStyle w:val="13"/>
          <w:rFonts w:hint="eastAsia" w:ascii="Arial" w:hAnsi="Arial" w:eastAsia="黑体" w:cstheme="minorBidi"/>
          <w:b/>
          <w:kern w:val="2"/>
          <w:sz w:val="32"/>
          <w:szCs w:val="22"/>
          <w:lang w:val="en-US" w:eastAsia="zh-CN" w:bidi="ar-SA"/>
        </w:rPr>
        <w:t>邀请书</w:t>
      </w:r>
      <w:bookmarkEnd w:id="1"/>
      <w:bookmarkEnd w:id="2"/>
    </w:p>
    <w:p>
      <w:pPr>
        <w:spacing w:line="312" w:lineRule="auto"/>
        <w:ind w:firstLine="480" w:firstLineChars="200"/>
        <w:rPr>
          <w:rFonts w:hint="eastAsia" w:ascii="宋体" w:hAnsi="宋体" w:cs="Arial"/>
          <w:sz w:val="24"/>
          <w:szCs w:val="24"/>
        </w:rPr>
      </w:pPr>
    </w:p>
    <w:p>
      <w:pPr>
        <w:spacing w:line="312" w:lineRule="auto"/>
        <w:ind w:firstLine="480" w:firstLineChars="200"/>
        <w:rPr>
          <w:rFonts w:hint="eastAsia" w:ascii="宋体" w:hAnsi="宋体" w:cs="Arial"/>
          <w:color w:val="auto"/>
          <w:sz w:val="24"/>
          <w:szCs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我单位现就</w:t>
      </w:r>
      <w:r>
        <w:rPr>
          <w:rFonts w:hint="eastAsia" w:asciiTheme="minorEastAsia" w:hAnsiTheme="minorEastAsia" w:cstheme="minorEastAsia"/>
          <w:color w:val="auto"/>
          <w:sz w:val="24"/>
          <w:szCs w:val="24"/>
          <w:u w:val="single"/>
          <w:lang w:eastAsia="zh-CN"/>
        </w:rPr>
        <w:t>采购“财务内控一体化系统服务”</w:t>
      </w:r>
      <w:r>
        <w:rPr>
          <w:rFonts w:hint="eastAsia" w:asciiTheme="minorEastAsia" w:hAnsiTheme="minorEastAsia" w:eastAsiaTheme="minorEastAsia" w:cstheme="minorEastAsia"/>
          <w:color w:val="auto"/>
          <w:sz w:val="24"/>
          <w:szCs w:val="24"/>
        </w:rPr>
        <w:t>项目进行询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采购，凡有意参加询比的供应商，请于公告发布之日起至报名截止时间之前，在</w:t>
      </w:r>
      <w:r>
        <w:rPr>
          <w:rFonts w:hint="eastAsia" w:asciiTheme="minorEastAsia" w:hAnsiTheme="minorEastAsia" w:cstheme="minorEastAsia"/>
          <w:color w:val="auto"/>
          <w:sz w:val="24"/>
          <w:szCs w:val="24"/>
          <w:lang w:val="en-US" w:eastAsia="zh-CN"/>
        </w:rPr>
        <w:t>重庆中国三峡博物馆官网</w:t>
      </w:r>
      <w:r>
        <w:rPr>
          <w:rFonts w:hint="eastAsia" w:asciiTheme="minorEastAsia" w:hAnsiTheme="minorEastAsia" w:eastAsiaTheme="minorEastAsia" w:cstheme="minorEastAsia"/>
          <w:color w:val="auto"/>
          <w:sz w:val="24"/>
          <w:szCs w:val="24"/>
        </w:rPr>
        <w:t>上下载查看本项目需求文件以及变更公告等询比前公布的所有项目资料，无论供应商下载查看与否，均视为已知晓所有询比实质性要求内容。</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本项目编号：内</w:t>
      </w:r>
      <w:r>
        <w:rPr>
          <w:rFonts w:hint="eastAsia" w:asciiTheme="minorEastAsia" w:hAnsiTheme="minorEastAsia" w:cstheme="minorEastAsia"/>
          <w:color w:val="auto"/>
          <w:sz w:val="24"/>
          <w:szCs w:val="24"/>
          <w:lang w:val="en-US" w:eastAsia="zh-CN"/>
        </w:rPr>
        <w:t>26022</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联系办法：</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采购联系人：李先生，电话，（023）63679109 ，13452915399；</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项目联系人：</w:t>
      </w:r>
      <w:r>
        <w:rPr>
          <w:rFonts w:hint="eastAsia" w:asciiTheme="minorEastAsia" w:hAnsiTheme="minorEastAsia" w:eastAsiaTheme="minorEastAsia" w:cstheme="minorEastAsia"/>
          <w:color w:val="auto"/>
          <w:sz w:val="24"/>
          <w:szCs w:val="24"/>
          <w:highlight w:val="none"/>
          <w:lang w:val="en-US" w:eastAsia="zh-CN"/>
        </w:rPr>
        <w:t>项目联系人：李</w:t>
      </w:r>
      <w:r>
        <w:rPr>
          <w:rFonts w:hint="eastAsia" w:asciiTheme="minorEastAsia" w:hAnsiTheme="minorEastAsia" w:cstheme="minorEastAsia"/>
          <w:color w:val="auto"/>
          <w:sz w:val="24"/>
          <w:szCs w:val="24"/>
          <w:highlight w:val="none"/>
          <w:lang w:val="en-US" w:eastAsia="zh-CN"/>
        </w:rPr>
        <w:t>女士</w:t>
      </w:r>
      <w:r>
        <w:rPr>
          <w:rFonts w:hint="eastAsia" w:asciiTheme="minorEastAsia" w:hAnsiTheme="minorEastAsia" w:eastAsiaTheme="minorEastAsia" w:cstheme="minorEastAsia"/>
          <w:color w:val="auto"/>
          <w:sz w:val="24"/>
          <w:szCs w:val="24"/>
          <w:highlight w:val="none"/>
          <w:lang w:val="en-US" w:eastAsia="zh-CN"/>
        </w:rPr>
        <w:t>，电话：02363679016，13996008889。</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p>
    <w:p>
      <w:pPr>
        <w:numPr>
          <w:ilvl w:val="0"/>
          <w:numId w:val="0"/>
        </w:numPr>
        <w:snapToGrid w:val="0"/>
        <w:spacing w:line="560" w:lineRule="atLeast"/>
        <w:ind w:left="567" w:leftChars="0"/>
        <w:rPr>
          <w:rFonts w:hint="eastAsia" w:ascii="宋体" w:hAnsi="宋体" w:cs="Arial"/>
          <w:color w:val="auto"/>
          <w:sz w:val="24"/>
          <w:szCs w:val="24"/>
          <w:lang w:eastAsia="zh-CN"/>
        </w:rPr>
      </w:pPr>
    </w:p>
    <w:p>
      <w:pPr>
        <w:snapToGrid w:val="0"/>
        <w:spacing w:line="560" w:lineRule="atLeast"/>
        <w:rPr>
          <w:rFonts w:hint="eastAsia" w:ascii="宋体" w:hAnsi="宋体" w:cs="Arial"/>
          <w:sz w:val="24"/>
          <w:szCs w:val="24"/>
        </w:rPr>
      </w:pPr>
      <w:r>
        <w:rPr>
          <w:rFonts w:hint="eastAsia" w:ascii="宋体" w:hAnsi="宋体" w:cs="Arial"/>
          <w:sz w:val="24"/>
          <w:szCs w:val="24"/>
        </w:rPr>
        <w:t xml:space="preserve">    </w:t>
      </w:r>
    </w:p>
    <w:p>
      <w:pPr>
        <w:pStyle w:val="5"/>
        <w:jc w:val="center"/>
        <w:rPr>
          <w:rFonts w:hint="eastAsia" w:ascii="宋体" w:hAnsi="宋体" w:eastAsia="宋体" w:cs="Arial"/>
          <w:sz w:val="36"/>
        </w:rPr>
      </w:pPr>
      <w:r>
        <w:rPr>
          <w:rFonts w:hint="eastAsia" w:ascii="宋体" w:hAnsi="宋体" w:eastAsia="宋体" w:cs="Arial"/>
          <w:b w:val="0"/>
          <w:sz w:val="28"/>
        </w:rPr>
        <w:br w:type="page"/>
      </w:r>
      <w:bookmarkStart w:id="3" w:name="_Toc372538150"/>
      <w:r>
        <w:rPr>
          <w:rStyle w:val="13"/>
          <w:rFonts w:hint="eastAsia" w:ascii="Arial" w:hAnsi="Arial" w:eastAsia="黑体" w:cstheme="minorBidi"/>
          <w:b/>
          <w:kern w:val="2"/>
          <w:sz w:val="32"/>
          <w:szCs w:val="22"/>
          <w:lang w:val="en-US" w:eastAsia="zh-CN" w:bidi="ar-SA"/>
        </w:rPr>
        <w:t>第二篇  投标须知</w:t>
      </w:r>
      <w:bookmarkEnd w:id="3"/>
    </w:p>
    <w:p>
      <w:pPr>
        <w:pStyle w:val="6"/>
        <w:pageBreakBefore w:val="0"/>
        <w:kinsoku/>
        <w:wordWrap/>
        <w:overflowPunct/>
        <w:topLinePunct w:val="0"/>
        <w:autoSpaceDE/>
        <w:autoSpaceDN/>
        <w:bidi w:val="0"/>
        <w:adjustRightInd/>
        <w:spacing w:line="460" w:lineRule="exact"/>
        <w:textAlignment w:val="auto"/>
        <w:rPr>
          <w:rStyle w:val="13"/>
          <w:rFonts w:hint="eastAsia"/>
        </w:rPr>
      </w:pPr>
      <w:bookmarkStart w:id="4" w:name="_Toc372538151"/>
      <w:r>
        <w:rPr>
          <w:rStyle w:val="13"/>
          <w:rFonts w:hint="eastAsia"/>
        </w:rPr>
        <w:t>一、询</w:t>
      </w:r>
      <w:r>
        <w:rPr>
          <w:rStyle w:val="13"/>
          <w:rFonts w:hint="eastAsia"/>
          <w:lang w:val="en-US" w:eastAsia="zh-CN"/>
        </w:rPr>
        <w:t>比</w:t>
      </w:r>
      <w:r>
        <w:rPr>
          <w:rStyle w:val="13"/>
          <w:rFonts w:hint="eastAsia"/>
        </w:rPr>
        <w:t>费用</w:t>
      </w:r>
      <w:bookmarkEnd w:id="4"/>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标的供应商应承担其编制</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标文件与递交</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标文件所涉及的一切费用，不论采购结果如何，采购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在任何情况下无义务也无责任承担这些费用。</w:t>
      </w:r>
    </w:p>
    <w:p>
      <w:pPr>
        <w:pStyle w:val="6"/>
        <w:pageBreakBefore w:val="0"/>
        <w:kinsoku/>
        <w:wordWrap/>
        <w:overflowPunct/>
        <w:topLinePunct w:val="0"/>
        <w:autoSpaceDE/>
        <w:autoSpaceDN/>
        <w:bidi w:val="0"/>
        <w:adjustRightInd/>
        <w:spacing w:line="460" w:lineRule="exact"/>
        <w:textAlignment w:val="auto"/>
        <w:rPr>
          <w:rStyle w:val="13"/>
          <w:rFonts w:hint="eastAsia"/>
        </w:rPr>
      </w:pPr>
      <w:bookmarkStart w:id="5" w:name="_Toc372538152"/>
      <w:r>
        <w:rPr>
          <w:rStyle w:val="13"/>
          <w:rFonts w:hint="eastAsia"/>
        </w:rPr>
        <w:t>二、</w:t>
      </w:r>
      <w:r>
        <w:rPr>
          <w:rStyle w:val="13"/>
          <w:rFonts w:hint="eastAsia"/>
          <w:lang w:eastAsia="zh-CN"/>
        </w:rPr>
        <w:t>投</w:t>
      </w:r>
      <w:r>
        <w:rPr>
          <w:rStyle w:val="13"/>
          <w:rFonts w:hint="eastAsia"/>
        </w:rPr>
        <w:t>标</w:t>
      </w:r>
      <w:r>
        <w:rPr>
          <w:rStyle w:val="13"/>
          <w:rFonts w:hint="eastAsia"/>
          <w:lang w:eastAsia="zh-CN"/>
        </w:rPr>
        <w:t>单位</w:t>
      </w:r>
      <w:r>
        <w:rPr>
          <w:rStyle w:val="13"/>
          <w:rFonts w:hint="eastAsia"/>
        </w:rPr>
        <w:t>资质</w:t>
      </w:r>
      <w:bookmarkEnd w:id="5"/>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标的供应商是指向采购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提供货物、工程或者服务的法人、其他组织或者自然人，简称供应商或</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合格的</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应符合下列资格条件：</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3、具有履行合同所必须的设备和专业技术能力；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4、有依法缴纳税收的良好记录；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5、参加政府采购活动近三年内，在经营活动中没有重大违法记录；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6、法律、行政法规规定的其他条件</w:t>
      </w:r>
      <w:r>
        <w:rPr>
          <w:rFonts w:hint="eastAsia" w:asciiTheme="minorEastAsia" w:hAnsiTheme="minorEastAsia" w:eastAsiaTheme="minorEastAsia" w:cstheme="minorEastAsia"/>
          <w:sz w:val="24"/>
          <w:szCs w:val="24"/>
          <w:lang w:eastAsia="zh-CN"/>
        </w:rPr>
        <w:t>；</w:t>
      </w:r>
    </w:p>
    <w:p>
      <w:pPr>
        <w:pStyle w:val="6"/>
        <w:pageBreakBefore w:val="0"/>
        <w:kinsoku/>
        <w:wordWrap/>
        <w:overflowPunct/>
        <w:topLinePunct w:val="0"/>
        <w:autoSpaceDE/>
        <w:autoSpaceDN/>
        <w:bidi w:val="0"/>
        <w:adjustRightInd/>
        <w:spacing w:line="460" w:lineRule="exact"/>
        <w:textAlignment w:val="auto"/>
        <w:rPr>
          <w:rStyle w:val="13"/>
          <w:rFonts w:hint="eastAsia"/>
          <w:lang w:val="en-US" w:eastAsia="zh-CN"/>
        </w:rPr>
      </w:pPr>
      <w:r>
        <w:rPr>
          <w:rStyle w:val="13"/>
          <w:rFonts w:hint="eastAsia"/>
          <w:lang w:val="en-US" w:eastAsia="zh-CN"/>
        </w:rPr>
        <w:t>三</w:t>
      </w:r>
      <w:r>
        <w:rPr>
          <w:rStyle w:val="13"/>
          <w:rFonts w:hint="eastAsia"/>
        </w:rPr>
        <w:t>、</w:t>
      </w:r>
      <w:r>
        <w:rPr>
          <w:rStyle w:val="13"/>
          <w:rFonts w:hint="eastAsia"/>
          <w:lang w:eastAsia="zh-CN"/>
        </w:rPr>
        <w:t>供应商</w:t>
      </w:r>
      <w:r>
        <w:rPr>
          <w:rStyle w:val="13"/>
          <w:rFonts w:hint="eastAsia"/>
          <w:lang w:val="en-US" w:eastAsia="zh-CN"/>
        </w:rPr>
        <w:t>资格条件</w:t>
      </w:r>
    </w:p>
    <w:p>
      <w:pPr>
        <w:snapToGrid w:val="0"/>
        <w:spacing w:line="480" w:lineRule="exact"/>
        <w:ind w:firstLine="573"/>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.落实政府采购政策需满足的资格要求：</w:t>
      </w:r>
    </w:p>
    <w:p>
      <w:pPr>
        <w:snapToGrid w:val="0"/>
        <w:spacing w:line="480" w:lineRule="exact"/>
        <w:ind w:firstLine="573"/>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本项目专门面向中小企业采购，供应商应为中小微企业或监狱企业或残疾人福利性单位（供应商须出具《中小企业声明函》或《监狱企业证明文件》或《残疾人福利性单位声明函》）。</w:t>
      </w:r>
    </w:p>
    <w:p>
      <w:pPr>
        <w:snapToGrid w:val="0"/>
        <w:spacing w:line="480" w:lineRule="exact"/>
        <w:ind w:firstLine="573"/>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.本项目的特定资格要求：</w:t>
      </w:r>
    </w:p>
    <w:p>
      <w:pPr>
        <w:snapToGrid w:val="0"/>
        <w:spacing w:line="480" w:lineRule="exact"/>
        <w:ind w:firstLine="57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.1单位负责人为同一人或者存在直接控股、管理关系的不同投标人，不得参加同一合同项下的政府采购活动，否则均按无效处理（提供承诺书或书面声明）；</w:t>
      </w:r>
    </w:p>
    <w:p>
      <w:pPr>
        <w:snapToGrid w:val="0"/>
        <w:spacing w:line="480" w:lineRule="exact"/>
        <w:ind w:firstLine="57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.2 本项目不接受联合体投标（提供承诺书或书面声明）。</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lang w:val="en-US" w:eastAsia="zh-CN"/>
        </w:rPr>
      </w:pPr>
    </w:p>
    <w:p>
      <w:pPr>
        <w:pStyle w:val="6"/>
        <w:pageBreakBefore w:val="0"/>
        <w:kinsoku/>
        <w:wordWrap/>
        <w:overflowPunct/>
        <w:topLinePunct w:val="0"/>
        <w:autoSpaceDE/>
        <w:autoSpaceDN/>
        <w:bidi w:val="0"/>
        <w:adjustRightInd/>
        <w:spacing w:line="460" w:lineRule="exact"/>
        <w:textAlignment w:val="auto"/>
        <w:rPr>
          <w:rStyle w:val="13"/>
          <w:rFonts w:hint="eastAsia"/>
          <w:lang w:eastAsia="zh-CN"/>
        </w:rPr>
      </w:pPr>
      <w:bookmarkStart w:id="6" w:name="_Toc187655629"/>
      <w:bookmarkStart w:id="7" w:name="_Toc179714296"/>
      <w:bookmarkStart w:id="8" w:name="_Toc102227317"/>
      <w:bookmarkStart w:id="9" w:name="_Toc372538153"/>
      <w:r>
        <w:rPr>
          <w:rStyle w:val="13"/>
          <w:rFonts w:hint="eastAsia"/>
          <w:lang w:eastAsia="zh-CN"/>
        </w:rPr>
        <w:t>四、询比采购文件</w:t>
      </w:r>
      <w:bookmarkEnd w:id="6"/>
      <w:bookmarkEnd w:id="7"/>
      <w:bookmarkEnd w:id="8"/>
      <w:bookmarkEnd w:id="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文件由邀请书、</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须知、采购项目技术要求、商务要求</w:t>
      </w:r>
      <w:r>
        <w:rPr>
          <w:rFonts w:hint="eastAsia" w:asciiTheme="minorEastAsia" w:hAnsiTheme="minorEastAsia" w:eastAsiaTheme="minorEastAsia" w:cstheme="minorEastAsia"/>
          <w:sz w:val="24"/>
          <w:szCs w:val="24"/>
          <w:lang w:eastAsia="zh-CN"/>
        </w:rPr>
        <w:t>、合同关键条款</w:t>
      </w:r>
      <w:r>
        <w:rPr>
          <w:rFonts w:hint="eastAsia" w:asciiTheme="minorEastAsia" w:hAnsiTheme="minorEastAsia" w:eastAsiaTheme="minorEastAsia" w:cstheme="minorEastAsia"/>
          <w:sz w:val="24"/>
          <w:szCs w:val="24"/>
        </w:rPr>
        <w:t>和供应商编制响应文件要求六部分组成。</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所作的一切有效的</w:t>
      </w:r>
      <w:r>
        <w:rPr>
          <w:rFonts w:hint="eastAsia" w:asciiTheme="minorEastAsia" w:hAnsiTheme="minorEastAsia" w:eastAsiaTheme="minorEastAsia" w:cstheme="minorEastAsia"/>
          <w:sz w:val="24"/>
          <w:szCs w:val="24"/>
          <w:lang w:eastAsia="zh-CN"/>
        </w:rPr>
        <w:t>公告、</w:t>
      </w:r>
      <w:r>
        <w:rPr>
          <w:rFonts w:hint="eastAsia" w:asciiTheme="minorEastAsia" w:hAnsiTheme="minorEastAsia" w:eastAsiaTheme="minorEastAsia" w:cstheme="minorEastAsia"/>
          <w:sz w:val="24"/>
          <w:szCs w:val="24"/>
        </w:rPr>
        <w:t>书面通知、修改及补充，都是询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文件不可分割的部分。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3、采购文件的解释</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如对询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文件有疑问，必须以书面形式在</w:t>
      </w:r>
      <w:r>
        <w:rPr>
          <w:rFonts w:hint="eastAsia" w:asciiTheme="minorEastAsia" w:hAnsiTheme="minorEastAsia" w:eastAsiaTheme="minorEastAsia" w:cstheme="minorEastAsia"/>
          <w:color w:val="auto"/>
          <w:sz w:val="24"/>
          <w:szCs w:val="24"/>
          <w:lang w:eastAsia="zh-CN"/>
        </w:rPr>
        <w:t>递交投标文件</w:t>
      </w:r>
      <w:r>
        <w:rPr>
          <w:rFonts w:hint="eastAsia" w:asciiTheme="minorEastAsia" w:hAnsiTheme="minorEastAsia" w:eastAsiaTheme="minorEastAsia" w:cstheme="minorEastAsia"/>
          <w:color w:val="auto"/>
          <w:sz w:val="24"/>
          <w:szCs w:val="24"/>
        </w:rPr>
        <w:t>截止时间一个工作日前向采购</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要求澄清，</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可视具体情况做出处理或答复</w:t>
      </w:r>
      <w:r>
        <w:rPr>
          <w:rFonts w:hint="eastAsia" w:asciiTheme="minorEastAsia" w:hAnsiTheme="minorEastAsia" w:eastAsiaTheme="minorEastAsia" w:cstheme="minorEastAsia"/>
          <w:sz w:val="24"/>
          <w:szCs w:val="24"/>
          <w:lang w:eastAsia="zh-CN"/>
        </w:rPr>
        <w:t>，处理或者答复发布在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如</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未提出疑问</w:t>
      </w:r>
      <w:r>
        <w:rPr>
          <w:rFonts w:hint="eastAsia" w:asciiTheme="minorEastAsia" w:hAnsiTheme="minorEastAsia" w:eastAsiaTheme="minorEastAsia" w:cstheme="minorEastAsia"/>
          <w:sz w:val="24"/>
          <w:szCs w:val="24"/>
          <w:lang w:eastAsia="zh-CN"/>
        </w:rPr>
        <w:t>或者未按前述要求提出</w:t>
      </w:r>
      <w:r>
        <w:rPr>
          <w:rFonts w:hint="eastAsia" w:asciiTheme="minorEastAsia" w:hAnsiTheme="minorEastAsia" w:eastAsiaTheme="minorEastAsia" w:cstheme="minorEastAsia"/>
          <w:sz w:val="24"/>
          <w:szCs w:val="24"/>
        </w:rPr>
        <w:t>，视为完全理解并同意本采购文件，即</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已详细阅读全部文件资料，完全理解</w:t>
      </w: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文件所有条款内容并同意放弃对这方面有不明白及误解的权利。</w:t>
      </w:r>
    </w:p>
    <w:p>
      <w:pPr>
        <w:pStyle w:val="6"/>
        <w:pageBreakBefore w:val="0"/>
        <w:kinsoku/>
        <w:wordWrap/>
        <w:overflowPunct/>
        <w:topLinePunct w:val="0"/>
        <w:autoSpaceDE/>
        <w:autoSpaceDN/>
        <w:bidi w:val="0"/>
        <w:adjustRightInd/>
        <w:spacing w:line="460" w:lineRule="exact"/>
        <w:textAlignment w:val="auto"/>
        <w:rPr>
          <w:rStyle w:val="13"/>
          <w:rFonts w:hint="eastAsia"/>
          <w:lang w:eastAsia="zh-CN"/>
        </w:rPr>
      </w:pPr>
      <w:bookmarkStart w:id="10" w:name="_Toc372538154"/>
      <w:r>
        <w:rPr>
          <w:rStyle w:val="13"/>
          <w:rFonts w:hint="eastAsia"/>
          <w:lang w:eastAsia="zh-CN"/>
        </w:rPr>
        <w:t>五、响应文件要求</w:t>
      </w:r>
      <w:bookmarkEnd w:id="10"/>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（一）响应文件由以下部分组成，包括：</w:t>
      </w:r>
    </w:p>
    <w:p>
      <w:pPr>
        <w:snapToGrid w:val="0"/>
        <w:spacing w:line="48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1.资格文件</w:t>
      </w:r>
    </w:p>
    <w:p>
      <w:pPr>
        <w:snapToGrid w:val="0"/>
        <w:spacing w:line="480" w:lineRule="exac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营业执照或者法人证书复印件</w:t>
      </w:r>
    </w:p>
    <w:p>
      <w:pPr>
        <w:snapToGrid w:val="0"/>
        <w:spacing w:line="480" w:lineRule="exac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法定代表人身份证明书（格式，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法定代表人参与投标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）或者法定代表人授权委托书（格式，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被授权人参与投标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snapToGrid w:val="0"/>
        <w:spacing w:line="480" w:lineRule="exac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）诚信声明书</w:t>
      </w:r>
    </w:p>
    <w:p>
      <w:pPr>
        <w:pStyle w:val="17"/>
        <w:rPr>
          <w:rFonts w:hint="eastAsia"/>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（4）中小企业声明函</w:t>
      </w:r>
    </w:p>
    <w:p>
      <w:pPr>
        <w:snapToGrid w:val="0"/>
        <w:spacing w:line="480" w:lineRule="exac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技术文件</w:t>
      </w:r>
    </w:p>
    <w:p>
      <w:pPr>
        <w:numPr>
          <w:ilvl w:val="0"/>
          <w:numId w:val="2"/>
        </w:numPr>
        <w:snapToGrid w:val="0"/>
        <w:spacing w:line="480" w:lineRule="exact"/>
        <w:ind w:firstLine="48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实施方案</w:t>
      </w:r>
    </w:p>
    <w:p>
      <w:pPr>
        <w:snapToGrid w:val="0"/>
        <w:spacing w:line="48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3.商务文件</w:t>
      </w:r>
    </w:p>
    <w:p>
      <w:pPr>
        <w:snapToGrid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报价函</w:t>
      </w:r>
    </w:p>
    <w:p>
      <w:pPr>
        <w:snapToGrid w:val="0"/>
        <w:spacing w:line="48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（2）明细报价表</w:t>
      </w:r>
    </w:p>
    <w:p>
      <w:pPr>
        <w:snapToGrid w:val="0"/>
        <w:spacing w:line="48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4.其他文件（不作为必要要件）</w:t>
      </w:r>
    </w:p>
    <w:p>
      <w:pPr>
        <w:snapToGrid w:val="0"/>
        <w:spacing w:line="480" w:lineRule="exac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提供与评分有关的内容或者</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认为需要提供的其他文件</w:t>
      </w:r>
    </w:p>
    <w:p>
      <w:pPr>
        <w:pStyle w:val="6"/>
        <w:pageBreakBefore w:val="0"/>
        <w:numPr>
          <w:ilvl w:val="0"/>
          <w:numId w:val="3"/>
        </w:numPr>
        <w:tabs>
          <w:tab w:val="left" w:pos="777"/>
          <w:tab w:val="left" w:pos="852"/>
        </w:tabs>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以上响应文件由投标单位以</w:t>
      </w:r>
      <w:r>
        <w:rPr>
          <w:rFonts w:hint="eastAsia" w:asciiTheme="minorEastAsia" w:hAnsiTheme="minorEastAsia" w:eastAsiaTheme="minorEastAsia" w:cstheme="minorEastAsia"/>
          <w:color w:val="FF0000"/>
          <w:sz w:val="24"/>
          <w:szCs w:val="24"/>
        </w:rPr>
        <w:t>PDF格式</w:t>
      </w:r>
      <w:r>
        <w:rPr>
          <w:rFonts w:hint="eastAsia" w:asciiTheme="minorEastAsia" w:hAnsiTheme="minorEastAsia" w:eastAsiaTheme="minorEastAsia" w:cstheme="minorEastAsia"/>
          <w:sz w:val="24"/>
          <w:szCs w:val="24"/>
        </w:rPr>
        <w:t>上传。</w:t>
      </w:r>
    </w:p>
    <w:p>
      <w:pPr>
        <w:pStyle w:val="6"/>
        <w:pageBreakBefore w:val="0"/>
        <w:kinsoku/>
        <w:wordWrap/>
        <w:overflowPunct/>
        <w:topLinePunct w:val="0"/>
        <w:autoSpaceDE/>
        <w:autoSpaceDN/>
        <w:bidi w:val="0"/>
        <w:adjustRightInd/>
        <w:spacing w:line="460" w:lineRule="exact"/>
        <w:textAlignment w:val="auto"/>
        <w:rPr>
          <w:rStyle w:val="13"/>
          <w:rFonts w:hint="eastAsia"/>
          <w:lang w:eastAsia="zh-CN"/>
        </w:rPr>
      </w:pPr>
      <w:r>
        <w:rPr>
          <w:rStyle w:val="13"/>
          <w:rFonts w:hint="eastAsia"/>
          <w:lang w:eastAsia="zh-CN"/>
        </w:rPr>
        <w:t>六、响应文件的真实性</w:t>
      </w:r>
    </w:p>
    <w:p>
      <w:pPr>
        <w:pStyle w:val="11"/>
        <w:pageBreakBefore w:val="0"/>
        <w:shd w:val="clear" w:color="auto" w:fill="FFFFFF"/>
        <w:kinsoku/>
        <w:wordWrap/>
        <w:overflowPunct/>
        <w:topLinePunct w:val="0"/>
        <w:autoSpaceDE/>
        <w:autoSpaceDN/>
        <w:bidi w:val="0"/>
        <w:adjustRightInd/>
        <w:spacing w:before="0" w:beforeAutospacing="0" w:after="0" w:afterAutospacing="0" w:line="460" w:lineRule="exact"/>
        <w:ind w:right="300" w:firstLine="480" w:firstLineChars="200"/>
        <w:textAlignment w:val="auto"/>
        <w:rPr>
          <w:rFonts w:hint="eastAsia" w:asciiTheme="minorEastAsia" w:hAnsiTheme="minorEastAsia" w:eastAsiaTheme="minorEastAsia" w:cstheme="minorEastAsia"/>
          <w:kern w:val="2"/>
          <w:sz w:val="24"/>
          <w:szCs w:val="24"/>
          <w:lang w:val="en-US" w:eastAsia="zh-CN" w:bidi="ar-SA"/>
        </w:rPr>
      </w:pPr>
      <w:bookmarkStart w:id="11" w:name="_Toc372538155"/>
      <w:r>
        <w:rPr>
          <w:rFonts w:hint="eastAsia" w:asciiTheme="minorEastAsia" w:hAnsiTheme="minorEastAsia" w:eastAsiaTheme="minorEastAsia" w:cstheme="minorEastAsia"/>
          <w:kern w:val="2"/>
          <w:sz w:val="24"/>
          <w:szCs w:val="24"/>
          <w:lang w:val="en-US" w:eastAsia="zh-CN" w:bidi="ar-SA"/>
        </w:rPr>
        <w:t>供应商提供的投标材料要求真实可靠，采购单位可对投标材料真实性进行核查。如有虚假（包含中标后不能与重庆市财政预算管理一体化系统实现业务协同与数据对接的情形），采购单位将取消中标单位中标资格或者与中标单位解除合同。中标单位赔偿由此造成采购单位的损失，采购单位按照评审委员会推荐的顺序依序确定中标单位。</w:t>
      </w:r>
    </w:p>
    <w:p>
      <w:pPr>
        <w:pStyle w:val="6"/>
        <w:pageBreakBefore w:val="0"/>
        <w:kinsoku/>
        <w:wordWrap/>
        <w:overflowPunct/>
        <w:topLinePunct w:val="0"/>
        <w:autoSpaceDE/>
        <w:autoSpaceDN/>
        <w:bidi w:val="0"/>
        <w:adjustRightInd/>
        <w:spacing w:line="460" w:lineRule="exact"/>
        <w:textAlignment w:val="auto"/>
        <w:rPr>
          <w:rStyle w:val="13"/>
          <w:rFonts w:hint="eastAsia"/>
          <w:lang w:val="en-US" w:eastAsia="zh-CN"/>
        </w:rPr>
      </w:pPr>
      <w:r>
        <w:rPr>
          <w:rStyle w:val="13"/>
          <w:rFonts w:hint="eastAsia"/>
          <w:lang w:val="en-US" w:eastAsia="zh-CN"/>
        </w:rPr>
        <w:t>七、投标报价</w:t>
      </w:r>
      <w:bookmarkEnd w:id="11"/>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最高限价：</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本项目最高限价（采购预算）：人民币</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480000</w:t>
      </w:r>
      <w:r>
        <w:rPr>
          <w:rFonts w:hint="eastAsia" w:asciiTheme="minorEastAsia" w:hAnsiTheme="minorEastAsia" w:eastAsiaTheme="minorEastAsia" w:cstheme="minorEastAsia"/>
          <w:sz w:val="24"/>
          <w:szCs w:val="24"/>
          <w:lang w:val="en-US" w:eastAsia="zh-CN"/>
        </w:rPr>
        <w:t>元。</w:t>
      </w:r>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 w:name="_Toc372538156"/>
      <w:r>
        <w:rPr>
          <w:rFonts w:hint="eastAsia" w:asciiTheme="minorEastAsia" w:hAnsiTheme="minorEastAsia" w:eastAsiaTheme="minorEastAsia" w:cstheme="minorEastAsia"/>
          <w:color w:val="000000" w:themeColor="text1"/>
          <w:sz w:val="24"/>
          <w:szCs w:val="24"/>
          <w14:textFill>
            <w14:solidFill>
              <w14:schemeClr w14:val="tx1"/>
            </w14:solidFill>
          </w14:textFill>
        </w:rPr>
        <w:t>报价要求</w:t>
      </w:r>
    </w:p>
    <w:p>
      <w:pPr>
        <w:keepNext w:val="0"/>
        <w:keepLines w:val="0"/>
        <w:widowControl w:val="0"/>
        <w:suppressLineNumbers w:val="0"/>
        <w:spacing w:before="0" w:beforeAutospacing="0" w:after="0" w:afterAutospacing="0"/>
        <w:ind w:left="0" w:right="0" w:firstLine="480" w:firstLineChars="200"/>
        <w:jc w:val="both"/>
      </w:pPr>
      <w:r>
        <w:rPr>
          <w:rFonts w:hint="eastAsia" w:ascii="宋体" w:hAnsi="宋体" w:eastAsia="宋体" w:cs="宋体"/>
          <w:b w:val="0"/>
          <w:color w:val="000000"/>
          <w:kern w:val="2"/>
          <w:sz w:val="24"/>
          <w:szCs w:val="24"/>
          <w:lang w:val="en-US" w:eastAsia="zh-CN" w:bidi="ar"/>
        </w:rPr>
        <w:t>投标报价应为供应商在采购单位所在地完成本项目全部内容的完整报价，包括但不限于资料费、人工费、税金等所有费用，中标价为包干价，供应商测算后确定投标报价。因供应商自身原因造成漏报、少报皆由其自行承担责任，采购单位不再补偿，中标价为包干价，供应商测算后确定投标报价。大小写应当一致，如不一致，以大写为准；若明细报价表中分项报价与总价不一致，以总价为准。</w:t>
      </w:r>
    </w:p>
    <w:p>
      <w:pPr>
        <w:pStyle w:val="6"/>
        <w:pageBreakBefore w:val="0"/>
        <w:kinsoku/>
        <w:wordWrap/>
        <w:overflowPunct/>
        <w:topLinePunct w:val="0"/>
        <w:autoSpaceDE/>
        <w:autoSpaceDN/>
        <w:bidi w:val="0"/>
        <w:adjustRightInd/>
        <w:spacing w:line="460" w:lineRule="exact"/>
        <w:textAlignment w:val="auto"/>
        <w:rPr>
          <w:rStyle w:val="13"/>
          <w:rFonts w:hint="eastAsia"/>
          <w:lang w:val="en-US" w:eastAsia="zh-CN"/>
        </w:rPr>
      </w:pPr>
      <w:r>
        <w:rPr>
          <w:rStyle w:val="13"/>
          <w:rFonts w:hint="eastAsia"/>
          <w:lang w:val="en-US" w:eastAsia="zh-CN"/>
        </w:rPr>
        <w:t>八、评审办法</w:t>
      </w:r>
      <w:bookmarkEnd w:id="12"/>
    </w:p>
    <w:p>
      <w:pPr>
        <w:pageBreakBefore w:val="0"/>
        <w:numPr>
          <w:ilvl w:val="0"/>
          <w:numId w:val="5"/>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评审依据</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采购单位将以</w:t>
      </w:r>
      <w:r>
        <w:rPr>
          <w:rFonts w:hint="eastAsia" w:asciiTheme="minorEastAsia" w:hAnsiTheme="minorEastAsia" w:cstheme="minorEastAsia"/>
          <w:sz w:val="24"/>
          <w:szCs w:val="24"/>
          <w:lang w:val="en-US" w:eastAsia="zh-CN"/>
        </w:rPr>
        <w:t>上传的响应文件</w:t>
      </w:r>
      <w:r>
        <w:rPr>
          <w:rFonts w:hint="eastAsia" w:asciiTheme="minorEastAsia" w:hAnsiTheme="minorEastAsia" w:eastAsiaTheme="minorEastAsia" w:cstheme="minorEastAsia"/>
          <w:sz w:val="24"/>
          <w:szCs w:val="24"/>
          <w:lang w:val="en-US" w:eastAsia="zh-CN"/>
        </w:rPr>
        <w:t>作为评判依据。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无效响应</w:t>
      </w:r>
    </w:p>
    <w:p>
      <w:pPr>
        <w:pageBreakBefore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有下列情况之一者，为无效</w:t>
      </w:r>
      <w:r>
        <w:rPr>
          <w:rFonts w:hint="eastAsia" w:asciiTheme="minorEastAsia" w:hAnsiTheme="minorEastAsia" w:eastAsiaTheme="minorEastAsia" w:cstheme="minorEastAsia"/>
          <w:b/>
          <w:bCs/>
          <w:sz w:val="24"/>
          <w:szCs w:val="24"/>
          <w:lang w:eastAsia="zh-CN"/>
        </w:rPr>
        <w:t>响应，为废标</w:t>
      </w:r>
      <w:r>
        <w:rPr>
          <w:rFonts w:hint="eastAsia" w:asciiTheme="minorEastAsia" w:hAnsiTheme="minorEastAsia" w:eastAsiaTheme="minorEastAsia" w:cstheme="minorEastAsia"/>
          <w:b/>
          <w:bCs/>
          <w:sz w:val="24"/>
          <w:szCs w:val="24"/>
        </w:rPr>
        <w:t>（请仔细阅读）：</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文件缺少</w:t>
      </w:r>
      <w:r>
        <w:rPr>
          <w:rFonts w:hint="eastAsia" w:asciiTheme="minorEastAsia" w:hAnsiTheme="minorEastAsia" w:eastAsiaTheme="minorEastAsia" w:cstheme="minorEastAsia"/>
          <w:sz w:val="24"/>
          <w:szCs w:val="24"/>
          <w:lang w:eastAsia="zh-CN"/>
        </w:rPr>
        <w:t>前述“五”中“</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”所列要件或者</w:t>
      </w:r>
      <w:r>
        <w:rPr>
          <w:rFonts w:hint="eastAsia" w:asciiTheme="minorEastAsia" w:hAnsiTheme="minorEastAsia" w:eastAsiaTheme="minorEastAsia" w:cstheme="minorEastAsia"/>
          <w:sz w:val="24"/>
          <w:szCs w:val="24"/>
          <w:lang w:val="en-US" w:eastAsia="zh-CN"/>
        </w:rPr>
        <w:t>响应文件要件达不到本询比文件要求的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）营业执照等复印件未加盖投标单位公章或骑缝章的。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响应文件未按照本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文件第六篇响应文件格式中所规定签字、盖章</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营业执照经营范围</w:t>
      </w:r>
      <w:r>
        <w:rPr>
          <w:rFonts w:hint="eastAsia" w:asciiTheme="minorEastAsia" w:hAnsiTheme="minorEastAsia" w:eastAsiaTheme="minorEastAsia" w:cstheme="minorEastAsia"/>
          <w:sz w:val="24"/>
          <w:szCs w:val="24"/>
          <w:lang w:eastAsia="zh-CN"/>
        </w:rPr>
        <w:t>（或法人证书服务范围）</w:t>
      </w:r>
      <w:r>
        <w:rPr>
          <w:rFonts w:hint="eastAsia" w:asciiTheme="minorEastAsia" w:hAnsiTheme="minorEastAsia" w:eastAsiaTheme="minorEastAsia" w:cstheme="minorEastAsia"/>
          <w:sz w:val="24"/>
          <w:szCs w:val="24"/>
        </w:rPr>
        <w:t>或者特定资格条件与本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要求不符合或不在有效期内的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lang w:val="en-US" w:eastAsia="zh-CN"/>
        </w:rPr>
        <w:t>响应文件的投标时间与本询比文件发出时间和投标截止时间冲突的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投标报价超过最高限价或者未按本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文件要求</w:t>
      </w:r>
      <w:r>
        <w:rPr>
          <w:rFonts w:hint="eastAsia" w:asciiTheme="minorEastAsia" w:hAnsiTheme="minorEastAsia" w:eastAsiaTheme="minorEastAsia" w:cstheme="minorEastAsia"/>
          <w:sz w:val="24"/>
          <w:szCs w:val="24"/>
        </w:rPr>
        <w:t>报价的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(7)响应文件如有更改，在更改处未加盖公章的。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(8)响应文件未按本询比文件“第六篇 供应商编制响应文件要求”编制的。</w:t>
      </w:r>
    </w:p>
    <w:p>
      <w:pPr>
        <w:pStyle w:val="2"/>
        <w:rPr>
          <w:rFonts w:hint="eastAsia"/>
          <w:lang w:val="en-US" w:eastAsia="zh-CN"/>
        </w:rPr>
      </w:pPr>
      <w:r>
        <w:rPr>
          <w:rFonts w:hint="eastAsia" w:asciiTheme="minorEastAsia" w:hAnsiTheme="minorEastAsia" w:eastAsiaTheme="minorEastAsia" w:cstheme="minorEastAsia"/>
          <w:sz w:val="24"/>
          <w:szCs w:val="24"/>
          <w:lang w:val="en-US" w:eastAsia="zh-CN"/>
        </w:rPr>
        <w:t xml:space="preserve">   （9）</w:t>
      </w:r>
      <w:r>
        <w:rPr>
          <w:rFonts w:hint="eastAsia" w:asciiTheme="minorEastAsia" w:hAnsiTheme="minorEastAsia" w:eastAsiaTheme="minorEastAsia" w:cstheme="minorEastAsia"/>
          <w:sz w:val="24"/>
          <w:szCs w:val="24"/>
        </w:rPr>
        <w:t>供应商不符合规定的资格条件的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中标</w:t>
      </w:r>
      <w:r>
        <w:rPr>
          <w:rFonts w:hint="eastAsia" w:asciiTheme="minorEastAsia" w:hAnsiTheme="minorEastAsia" w:eastAsiaTheme="minorEastAsia" w:cstheme="minorEastAsia"/>
          <w:color w:val="auto"/>
          <w:sz w:val="24"/>
          <w:szCs w:val="24"/>
        </w:rPr>
        <w:t>原则</w:t>
      </w:r>
    </w:p>
    <w:p>
      <w:pPr>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综合评分法：满分100分，采购单位对已入围（有效响应）评审的投标单位的响应文件和报价进行评分，</w:t>
      </w:r>
      <w:r>
        <w:rPr>
          <w:rFonts w:hint="eastAsia" w:asciiTheme="minorEastAsia" w:hAnsiTheme="minorEastAsia" w:cstheme="minorEastAsia"/>
          <w:color w:val="auto"/>
          <w:sz w:val="24"/>
          <w:szCs w:val="24"/>
          <w:lang w:val="en-US" w:eastAsia="zh-CN"/>
        </w:rPr>
        <w:t>授权评标委员会直接确定综合</w:t>
      </w:r>
      <w:r>
        <w:rPr>
          <w:rFonts w:hint="eastAsia" w:asciiTheme="minorEastAsia" w:hAnsiTheme="minorEastAsia" w:eastAsiaTheme="minorEastAsia" w:cstheme="minorEastAsia"/>
          <w:color w:val="auto"/>
          <w:sz w:val="24"/>
          <w:szCs w:val="24"/>
          <w:lang w:val="en-US" w:eastAsia="zh-CN"/>
        </w:rPr>
        <w:t>得分最高的投标单位为</w:t>
      </w:r>
      <w:r>
        <w:rPr>
          <w:rFonts w:hint="eastAsia" w:asciiTheme="minorEastAsia" w:hAnsi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lang w:val="en-US" w:eastAsia="zh-CN"/>
        </w:rPr>
        <w:t>；未入围的投标单位不参与评审。评审得分保留小数点后两位，如果得分相同，按小数点后第三位高的原则选取。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分后，采购单位按综合得分由高到低排序，并依序对候选单位提供的响应文件真实性进行复核。排在前面的若资料真实可靠，授权评标委员会直接确定综合得分最高的供应商为中标人；若不真实，则按得分高低依序替补。</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p>
    <w:p>
      <w:pPr>
        <w:pageBreakBefore w:val="0"/>
        <w:kinsoku/>
        <w:wordWrap/>
        <w:overflowPunct/>
        <w:topLinePunct w:val="0"/>
        <w:autoSpaceDE/>
        <w:autoSpaceDN/>
        <w:bidi w:val="0"/>
        <w:adjustRightInd/>
        <w:snapToGrid w:val="0"/>
        <w:spacing w:line="46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评分标准</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FF0000"/>
          <w:sz w:val="24"/>
          <w:szCs w:val="24"/>
          <w:lang w:val="en-US" w:eastAsia="zh-CN"/>
        </w:rPr>
      </w:pPr>
    </w:p>
    <w:tbl>
      <w:tblPr>
        <w:tblStyle w:val="14"/>
        <w:tblW w:w="9744" w:type="dxa"/>
        <w:tblInd w:w="-3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2"/>
        <w:gridCol w:w="1365"/>
        <w:gridCol w:w="6147"/>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0" w:hRule="atLeast"/>
          <w:tblHeader/>
        </w:trPr>
        <w:tc>
          <w:tcPr>
            <w:tcW w:w="1452" w:type="dxa"/>
            <w:tcBorders>
              <w:top w:val="single" w:color="000000" w:sz="8" w:space="0"/>
              <w:left w:val="single" w:color="000000" w:sz="8" w:space="0"/>
              <w:bottom w:val="single" w:color="000000" w:sz="8" w:space="0"/>
              <w:right w:val="single" w:color="000000" w:sz="8" w:space="0"/>
            </w:tcBorders>
            <w:shd w:val="clear" w:color="auto" w:fill="A6A6A6"/>
            <w:vAlign w:val="center"/>
          </w:tcPr>
          <w:p>
            <w:pPr>
              <w:keepNext w:val="0"/>
              <w:keepLines w:val="0"/>
              <w:widowControl/>
              <w:suppressLineNumbers w:val="0"/>
              <w:ind w:left="0" w:leftChars="0"/>
              <w:jc w:val="distribute"/>
              <w:textAlignment w:val="center"/>
              <w:rPr>
                <w:rFonts w:hint="eastAsia" w:asciiTheme="minorEastAsia" w:hAnsiTheme="minorEastAsia" w:eastAsiaTheme="minorEastAsia" w:cstheme="minorEastAsia"/>
                <w:b/>
                <w:bCs/>
                <w:i w:val="0"/>
                <w:iCs w:val="0"/>
                <w:color w:val="000000" w:themeColor="text1"/>
                <w:w w:val="90"/>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w w:val="90"/>
                <w:kern w:val="0"/>
                <w:sz w:val="24"/>
                <w:szCs w:val="24"/>
                <w:highlight w:val="none"/>
                <w:u w:val="none"/>
                <w:lang w:val="en-US" w:eastAsia="zh-CN" w:bidi="ar"/>
                <w14:textFill>
                  <w14:solidFill>
                    <w14:schemeClr w14:val="tx1"/>
                  </w14:solidFill>
                </w14:textFill>
              </w:rPr>
              <w:t>评 审 内 容</w:t>
            </w:r>
          </w:p>
        </w:tc>
        <w:tc>
          <w:tcPr>
            <w:tcW w:w="7512" w:type="dxa"/>
            <w:gridSpan w:val="2"/>
            <w:tcBorders>
              <w:top w:val="single" w:color="000000" w:sz="8" w:space="0"/>
              <w:left w:val="nil"/>
              <w:bottom w:val="single" w:color="000000" w:sz="8" w:space="0"/>
              <w:right w:val="nil"/>
            </w:tcBorders>
            <w:shd w:val="clear" w:color="auto" w:fill="A6A6A6"/>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评 审 标 准</w:t>
            </w:r>
          </w:p>
        </w:tc>
        <w:tc>
          <w:tcPr>
            <w:tcW w:w="780" w:type="dxa"/>
            <w:tcBorders>
              <w:top w:val="single" w:color="000000" w:sz="8" w:space="0"/>
              <w:left w:val="single" w:color="000000" w:sz="8" w:space="0"/>
              <w:bottom w:val="nil"/>
              <w:right w:val="single" w:color="000000" w:sz="8" w:space="0"/>
            </w:tcBorders>
            <w:shd w:val="clear" w:color="auto" w:fill="A6A6A6"/>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964" w:type="dxa"/>
            <w:gridSpan w:val="3"/>
            <w:tcBorders>
              <w:top w:val="nil"/>
              <w:left w:val="single" w:color="000000" w:sz="8" w:space="0"/>
              <w:bottom w:val="single" w:color="000000" w:sz="8" w:space="0"/>
              <w:right w:val="nil"/>
            </w:tcBorders>
            <w:shd w:val="clear" w:color="auto" w:fill="F2F2F2"/>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一、经济部分（40%）</w:t>
            </w:r>
          </w:p>
        </w:tc>
        <w:tc>
          <w:tcPr>
            <w:tcW w:w="780" w:type="dxa"/>
            <w:tcBorders>
              <w:top w:val="single" w:color="000000" w:sz="8" w:space="0"/>
              <w:left w:val="single" w:color="000000" w:sz="8" w:space="0"/>
              <w:bottom w:val="nil"/>
              <w:right w:val="single" w:color="000000" w:sz="8" w:space="0"/>
            </w:tcBorders>
            <w:shd w:val="clear" w:color="auto" w:fill="F2F2F2"/>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trPr>
        <w:tc>
          <w:tcPr>
            <w:tcW w:w="14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投标报价</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（满分40分）</w:t>
            </w:r>
          </w:p>
        </w:tc>
        <w:tc>
          <w:tcPr>
            <w:tcW w:w="7512" w:type="dxa"/>
            <w:gridSpan w:val="2"/>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cs="Times New Roman" w:eastAsiaTheme="minorEastAsia"/>
                <w:i w:val="0"/>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i w:val="0"/>
                <w:color w:val="000000" w:themeColor="text1"/>
                <w:sz w:val="21"/>
                <w:szCs w:val="21"/>
                <w:highlight w:val="none"/>
                <w:u w:val="none"/>
                <w14:textFill>
                  <w14:solidFill>
                    <w14:schemeClr w14:val="tx1"/>
                  </w14:solidFill>
                </w14:textFill>
              </w:rPr>
              <w:t>有效的投标报价中的最低价为评标基准价，按照下列公式计算每个</w:t>
            </w:r>
            <w:r>
              <w:rPr>
                <w:rFonts w:hint="default" w:ascii="Times New Roman" w:hAnsi="Times New Roman" w:cs="Times New Roman" w:eastAsiaTheme="minorEastAsia"/>
                <w:i w:val="0"/>
                <w:color w:val="000000" w:themeColor="text1"/>
                <w:sz w:val="21"/>
                <w:szCs w:val="21"/>
                <w:highlight w:val="none"/>
                <w:u w:val="none"/>
                <w:lang w:eastAsia="zh-CN"/>
                <w14:textFill>
                  <w14:solidFill>
                    <w14:schemeClr w14:val="tx1"/>
                  </w14:solidFill>
                </w14:textFill>
              </w:rPr>
              <w:t>供应商</w:t>
            </w:r>
            <w:r>
              <w:rPr>
                <w:rFonts w:hint="default" w:ascii="Times New Roman" w:hAnsi="Times New Roman" w:cs="Times New Roman" w:eastAsiaTheme="minorEastAsia"/>
                <w:i w:val="0"/>
                <w:color w:val="000000" w:themeColor="text1"/>
                <w:sz w:val="21"/>
                <w:szCs w:val="21"/>
                <w:highlight w:val="none"/>
                <w:u w:val="none"/>
                <w14:textFill>
                  <w14:solidFill>
                    <w14:schemeClr w14:val="tx1"/>
                  </w14:solidFill>
                </w14:textFill>
              </w:rPr>
              <w:t>的投标价格得分；</w:t>
            </w:r>
          </w:p>
          <w:p>
            <w:pPr>
              <w:keepNext w:val="0"/>
              <w:keepLines w:val="0"/>
              <w:widowControl/>
              <w:suppressLineNumbers w:val="0"/>
              <w:jc w:val="left"/>
              <w:textAlignment w:val="top"/>
              <w:rPr>
                <w:rFonts w:hint="default" w:ascii="Times New Roman" w:hAnsi="Times New Roman" w:cs="Times New Roman" w:eastAsiaTheme="minorEastAsia"/>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i w:val="0"/>
                <w:color w:val="000000" w:themeColor="text1"/>
                <w:sz w:val="21"/>
                <w:szCs w:val="21"/>
                <w:highlight w:val="none"/>
                <w:u w:val="none"/>
                <w14:textFill>
                  <w14:solidFill>
                    <w14:schemeClr w14:val="tx1"/>
                  </w14:solidFill>
                </w14:textFill>
              </w:rPr>
              <w:t>投标报价得分＝（评标基准价/投标报价）×权重×100</w:t>
            </w:r>
            <w:r>
              <w:rPr>
                <w:rFonts w:hint="default" w:ascii="Times New Roman" w:hAnsi="Times New Roman" w:cs="Times New Roman" w:eastAsiaTheme="minorEastAsia"/>
                <w:i w:val="0"/>
                <w:color w:val="000000" w:themeColor="text1"/>
                <w:sz w:val="21"/>
                <w:szCs w:val="21"/>
                <w:highlight w:val="none"/>
                <w:u w:val="none"/>
                <w:lang w:val="en-US" w:eastAsia="zh-CN"/>
                <w14:textFill>
                  <w14:solidFill>
                    <w14:schemeClr w14:val="tx1"/>
                  </w14:solidFill>
                </w14:textFill>
              </w:rPr>
              <w:t>%</w:t>
            </w:r>
          </w:p>
        </w:tc>
        <w:tc>
          <w:tcPr>
            <w:tcW w:w="7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7512" w:type="dxa"/>
            <w:gridSpan w:val="2"/>
            <w:tcBorders>
              <w:top w:val="nil"/>
              <w:left w:val="nil"/>
              <w:bottom w:val="single" w:color="000000" w:sz="8" w:space="0"/>
              <w:right w:val="nil"/>
            </w:tcBorders>
            <w:shd w:val="clear" w:color="auto" w:fill="auto"/>
            <w:vAlign w:val="top"/>
          </w:tcPr>
          <w:p>
            <w:pPr>
              <w:keepNext w:val="0"/>
              <w:keepLines w:val="0"/>
              <w:widowControl/>
              <w:numPr>
                <w:ilvl w:val="0"/>
                <w:numId w:val="0"/>
              </w:numPr>
              <w:suppressLineNumbers w:val="0"/>
              <w:ind w:firstLine="0" w:firstLineChars="0"/>
              <w:jc w:val="left"/>
              <w:textAlignment w:val="top"/>
              <w:rPr>
                <w:rFonts w:hint="default" w:ascii="Times New Roman" w:hAnsi="Times New Roman" w:cs="Times New Roman" w:eastAsiaTheme="minorEastAsia"/>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eastAsiaTheme="minorEastAsia"/>
                <w:b/>
                <w:bCs/>
                <w:i w:val="0"/>
                <w:iCs w:val="0"/>
                <w:color w:val="000000" w:themeColor="text1"/>
                <w:kern w:val="0"/>
                <w:sz w:val="21"/>
                <w:szCs w:val="21"/>
                <w:highlight w:val="none"/>
                <w:u w:val="none"/>
                <w:lang w:val="en-US" w:eastAsia="zh-CN" w:bidi="ar"/>
                <w14:textFill>
                  <w14:solidFill>
                    <w14:schemeClr w14:val="tx1"/>
                  </w14:solidFill>
                </w14:textFill>
              </w:rPr>
              <w:t>注：</w:t>
            </w:r>
            <w:r>
              <w:rPr>
                <w:rFonts w:hint="default" w:ascii="Times New Roman" w:hAnsi="Times New Roman" w:cs="Times New Roman" w:eastAsiaTheme="minorEastAsia"/>
                <w:i w:val="0"/>
                <w:iCs w:val="0"/>
                <w:color w:val="000000" w:themeColor="text1"/>
                <w:kern w:val="0"/>
                <w:sz w:val="21"/>
                <w:szCs w:val="21"/>
                <w:highlight w:val="none"/>
                <w:u w:val="none"/>
                <w:lang w:val="en-US" w:eastAsia="zh-CN" w:bidi="ar"/>
                <w14:textFill>
                  <w14:solidFill>
                    <w14:schemeClr w14:val="tx1"/>
                  </w14:solidFill>
                </w14:textFill>
              </w:rPr>
              <w:t>①</w:t>
            </w:r>
            <w:r>
              <w:rPr>
                <w:rFonts w:hint="default" w:ascii="Times New Roman" w:hAnsi="Times New Roman" w:cs="Times New Roman" w:eastAsiaTheme="minorEastAsia"/>
                <w:b/>
                <w:bCs/>
                <w:i w:val="0"/>
                <w:iCs w:val="0"/>
                <w:color w:val="000000" w:themeColor="text1"/>
                <w:kern w:val="0"/>
                <w:sz w:val="21"/>
                <w:szCs w:val="21"/>
                <w:highlight w:val="none"/>
                <w:u w:val="none"/>
                <w:lang w:val="en-US" w:eastAsia="zh-CN" w:bidi="ar"/>
                <w14:textFill>
                  <w14:solidFill>
                    <w14:schemeClr w14:val="tx1"/>
                  </w14:solidFill>
                </w14:textFill>
              </w:rPr>
              <w:t>计算数据及评分结果保留至小数点后两位，第三位四舍五入</w:t>
            </w:r>
          </w:p>
        </w:tc>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8964" w:type="dxa"/>
            <w:gridSpan w:val="3"/>
            <w:tcBorders>
              <w:top w:val="nil"/>
              <w:left w:val="single" w:color="000000" w:sz="8" w:space="0"/>
              <w:bottom w:val="nil"/>
              <w:right w:val="nil"/>
            </w:tcBorders>
            <w:shd w:val="clear" w:color="auto" w:fill="F2F2F2"/>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二、技术部分（50%）</w:t>
            </w:r>
          </w:p>
        </w:tc>
        <w:tc>
          <w:tcPr>
            <w:tcW w:w="780" w:type="dxa"/>
            <w:tcBorders>
              <w:top w:val="nil"/>
              <w:left w:val="single" w:color="000000" w:sz="8" w:space="0"/>
              <w:bottom w:val="single" w:color="auto" w:sz="4" w:space="0"/>
              <w:right w:val="single" w:color="000000" w:sz="8" w:space="0"/>
            </w:tcBorders>
            <w:shd w:val="clear" w:color="auto" w:fill="F2F2F2"/>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技术部分</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（满分50分）</w:t>
            </w:r>
          </w:p>
        </w:tc>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1.项目实施方案（满分5分）</w:t>
            </w:r>
          </w:p>
        </w:tc>
        <w:tc>
          <w:tcPr>
            <w:tcW w:w="6147" w:type="dxa"/>
            <w:tcBorders>
              <w:top w:val="single" w:color="000000"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0"/>
                <w:szCs w:val="20"/>
                <w:highlight w:val="none"/>
                <w:u w:val="none"/>
                <w:lang w:val="en-US" w:eastAsia="zh-CN" w:bidi="ar"/>
                <w14:textFill>
                  <w14:solidFill>
                    <w14:schemeClr w14:val="tx1"/>
                  </w14:solidFill>
                </w14:textFill>
              </w:rPr>
              <w:t>1.项目实施方案（满分5分）</w:t>
            </w:r>
          </w:p>
          <w:p>
            <w:pPr>
              <w:widowControl/>
              <w:spacing w:line="300" w:lineRule="exact"/>
              <w:jc w:val="left"/>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项目实施方案包括</w:t>
            </w:r>
            <w:r>
              <w:rPr>
                <w:rFonts w:hint="eastAsia"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总体</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方案内容、进度计划、质量管理、风险管理、安全管理等内容。</w:t>
            </w:r>
            <w:r>
              <w:rPr>
                <w:rFonts w:hint="default" w:ascii="Times New Roman" w:hAnsi="Times New Roman" w:eastAsia="宋体" w:cs="Times New Roman"/>
                <w:color w:val="000000" w:themeColor="text1"/>
                <w:sz w:val="21"/>
                <w:szCs w:val="21"/>
                <w:highlight w:val="none"/>
                <w14:textFill>
                  <w14:solidFill>
                    <w14:schemeClr w14:val="tx1"/>
                  </w14:solidFill>
                </w14:textFill>
              </w:rPr>
              <w:t>提供相关方案，格式自定。</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1.方案包含上述所有内容的基础上</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内容不存在瑕疵的得5分；</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2.方案包含上述所有内容的基础上，内容存在1处瑕疵的得3分； </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3.方案包含上述所有内容的基础上，内容存在2处瑕疵的得1分；</w:t>
            </w:r>
          </w:p>
          <w:p>
            <w:pPr>
              <w:rPr>
                <w:rFonts w:hint="eastAsia" w:eastAsia="方正仿宋_GBK" w:asciiTheme="minorEastAsia" w:hAnsiTheme="minorEastAsia" w:cstheme="minorEastAsia"/>
                <w:b/>
                <w:bCs/>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4.方案包含上述所有内容的基础上，内容存在3处瑕疵的得0分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2.需求分析</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（满分3分）</w:t>
            </w:r>
          </w:p>
        </w:tc>
        <w:tc>
          <w:tcPr>
            <w:tcW w:w="6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0"/>
                <w:szCs w:val="20"/>
                <w:highlight w:val="none"/>
                <w:u w:val="none"/>
                <w:lang w:val="en-US" w:eastAsia="zh-CN" w:bidi="ar"/>
                <w14:textFill>
                  <w14:solidFill>
                    <w14:schemeClr w14:val="tx1"/>
                  </w14:solidFill>
                </w14:textFill>
              </w:rPr>
              <w:t>2.需求分析（满分3分）</w:t>
            </w:r>
          </w:p>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需求分析与项目建设需求一一对应，项目实施重点及关键点罗列清晰、完整。</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1.方案包含上述所有内容的基础上，内容不存在瑕疵的得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2.方案包含上述所有内容的基础上，内容存在1处瑕疵的得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分； </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3.方案包含上述所有内容的基础上，内容存在2处瑕疵的得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0.5</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p>
          <w:p>
            <w:pPr>
              <w:keepNext w:val="0"/>
              <w:keepLines w:val="0"/>
              <w:widowControl/>
              <w:suppressLineNumbers w:val="0"/>
              <w:jc w:val="left"/>
              <w:textAlignment w:val="center"/>
              <w:rPr>
                <w:rFonts w:hint="eastAsia" w:eastAsia="方正仿宋_GBK" w:asciiTheme="minorEastAsia" w:hAnsiTheme="minorEastAsia" w:cstheme="minorEastAsia"/>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4.方案包含上述所有内容的基础上，内容存在3处瑕疵的得0分</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24" w:hRule="atLeast"/>
        </w:trPr>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3.整体架构设计（满分2分）</w:t>
            </w:r>
          </w:p>
        </w:tc>
        <w:tc>
          <w:tcPr>
            <w:tcW w:w="6147" w:type="dxa"/>
            <w:tcBorders>
              <w:top w:val="single" w:color="auto" w:sz="4" w:space="0"/>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t>3.整体架构设计（满分2分）</w:t>
            </w:r>
          </w:p>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整体架构设计能够清晰地说明本项目的核心功能架构、整体业务架构和各业务模块之间的关系；技术架构设计方案科学完整；能够给出相关业务流程。</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1.方案包含上述所有内容的基础上，内容不存在瑕疵的得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2.方案包含上述所有内容的基础上，内容存在1处瑕疵的得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分； </w:t>
            </w:r>
          </w:p>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3.方案包含上述所有内容的基础上，内容存在2处瑕疵的得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82" w:hRule="atLeast"/>
        </w:trPr>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4.系统功能设计（满分10分）</w:t>
            </w:r>
          </w:p>
        </w:tc>
        <w:tc>
          <w:tcPr>
            <w:tcW w:w="6147"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0"/>
                <w:szCs w:val="20"/>
                <w:highlight w:val="none"/>
                <w:u w:val="none"/>
                <w:lang w:val="en-US" w:eastAsia="zh-CN" w:bidi="ar"/>
                <w14:textFill>
                  <w14:solidFill>
                    <w14:schemeClr w14:val="tx1"/>
                  </w14:solidFill>
                </w14:textFill>
              </w:rPr>
              <w:t>4.系统功能设计（满分10分）</w:t>
            </w:r>
          </w:p>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系统功能设计先进、完整、合理、实时性与可操作性，满足与单位已有系统兼容性和稳定性，</w:t>
            </w:r>
            <w:r>
              <w:rPr>
                <w:rFonts w:hint="default" w:ascii="Times New Roman" w:hAnsi="Times New Roman" w:eastAsia="宋体" w:cs="Times New Roman"/>
                <w:i w:val="0"/>
                <w:iCs w:val="0"/>
                <w:color w:val="auto"/>
                <w:kern w:val="0"/>
                <w:sz w:val="21"/>
                <w:szCs w:val="21"/>
                <w:highlight w:val="none"/>
                <w:u w:val="none"/>
                <w:lang w:val="en-US" w:eastAsia="zh-CN" w:bidi="ar"/>
              </w:rPr>
              <w:t>能与重庆市财政预算管理一体化系统对接，</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在满足项目技术需求外能提供合理的拓展功能及维修维保功能，充分满足业务系统的运行需求进行横向和纵向扩展。</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1.方案包含上述所有内容的基础上，内容不存在瑕疵的得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2.方案包含上述所有内容的基础上，内容存在1处瑕疵的得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分； </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3.方案包含上述所有内容的基础上，内容存在2处瑕疵的得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p>
          <w:p>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4.方案包含上述所有内容的基础上，内容存在3处瑕疵的得0分</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w:t>
            </w:r>
          </w:p>
        </w:tc>
        <w:tc>
          <w:tcPr>
            <w:tcW w:w="78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37" w:hRule="atLeast"/>
        </w:trPr>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5.售后服务方案满分5分）</w:t>
            </w:r>
          </w:p>
        </w:tc>
        <w:tc>
          <w:tcPr>
            <w:tcW w:w="6147"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0"/>
                <w:szCs w:val="20"/>
                <w:highlight w:val="none"/>
                <w:u w:val="none"/>
                <w:lang w:val="en-US" w:eastAsia="zh-CN" w:bidi="ar"/>
                <w14:textFill>
                  <w14:solidFill>
                    <w14:schemeClr w14:val="tx1"/>
                  </w14:solidFill>
                </w14:textFill>
              </w:rPr>
              <w:t>5.售后服务方案（满分5分）</w:t>
            </w:r>
          </w:p>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售后服务方案包含</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售后服务承诺及保障措施</w:t>
            </w: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培训计划方案，包括本系统和重庆市预算管理一体化系统的培训计划、培训内容及保障措施</w:t>
            </w: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t>运维服务方案</w:t>
            </w:r>
            <w:r>
              <w:rPr>
                <w:rFonts w:hint="eastAsia" w:asciiTheme="minorEastAsia" w:hAnsi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t>包括人员配备、运维工作内容、故障应急处理等内容</w:t>
            </w:r>
            <w:r>
              <w:rPr>
                <w:rFonts w:hint="eastAsia" w:asciiTheme="minorEastAsia" w:hAnsi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kern w:val="2"/>
                <w:sz w:val="21"/>
                <w:szCs w:val="21"/>
                <w:highlight w:val="none"/>
                <w:u w:val="none"/>
                <w:lang w:val="en-US" w:eastAsia="zh-CN" w:bidi="ar-SA"/>
                <w14:textFill>
                  <w14:solidFill>
                    <w14:schemeClr w14:val="tx1"/>
                  </w14:solidFill>
                </w14:textFill>
              </w:rPr>
              <w:t>。</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1.方案包含上述所有内容的基础上，内容不存在瑕疵的得5分；</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2.方案包含上述所有内容的基础上，内容存在1处瑕疵的得3分； </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3.方案包含上述所有内容的基础上，内容存在2处瑕疵的得1分；</w:t>
            </w:r>
          </w:p>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2"/>
                <w:sz w:val="20"/>
                <w:szCs w:val="20"/>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4.方案包含上述所有内容的基础上，内容存在3处瑕疵的得0分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78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6.内控信息化系统演示</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（满分25分）</w:t>
            </w:r>
          </w:p>
        </w:tc>
        <w:tc>
          <w:tcPr>
            <w:tcW w:w="6147" w:type="dxa"/>
            <w:tcBorders>
              <w:top w:val="single" w:color="000000" w:sz="8" w:space="0"/>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（1）内控风控管理演示（满分1分）</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78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演示风险库能够识别和记录风险的功能，比如报销超标，记录到风险库，点击具体产生风险的记录，可以追溯并弹出单据详情。满足得1分，不满足0分。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（2）满足集中部署要求，支持私有云部署，演示SAAS功能（满分2分）</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①支持多个不同单位共建一套系统， 即部署一套系统即可供多个单位使用，各单位业务及数据相互独立。（1分）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②各单位可根据需要对建设单位的业务功能进行安装或卸载。（1分）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（3）满足各单位个性化流程需求，演示自定义流程功能（满分4分）</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①用户可在图形化界面上自行定义流程的审批节点、判断节点、节点办理人以及流程所对应的表单，各单位可按照支出事项对同一表单定义不同流程。（1分）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②可对流程节点设置对应的人物图像。（1分）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③流程设计完成后可以发布、发布后立即生效，无需更新代码。（1分）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④可对流程中表单字段进行设置，包括可编辑、只读、隐藏、显示、必填等控制。（1分）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（4）演示流程审批内控相关控制（满分1分）</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审批时可以展示内控审批要素，每个审批要素在审批过程中需打勾确认。（1分）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（5）演示预算执行追溯情况（满分4分）</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①在一个界面上能整体查询、按指标查询等查询方式查看单位预算资金的分解及执行进度情况，并可以实现穿透查询，能查看到单据的当前审批所处审批节点，能追溯到单据的内容、各流程处理人的审批情况。（2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②能够根据可用指标查询到使用此指标的使用范围、指标余额、关联的支出单据等信息。（2分）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（6）满足个性化表单需求，演示自定义表单功能（满分4分）</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①系统管理人员能自定义配置或从EXCEL复制表单样式，进行字段映射后即可完成表单样式呈现，以方便快速响应系统表单后期的使用调整。（2分）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②可通过系统配置快速将表单展示模式在仿纸质表单和普通表单间进行切换。（1分）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③单位业务单据能灵活配置，实现现有表单的字段显示、隐藏、是否必填的控制，以满足单位不同表单要素的不同管控需求。（1分）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（7）演示系统操作的便捷性（满分5分）</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①系统支持数据留痕配置，数据修改后记录修改前后的记录。（2分）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②系统支持列表页面均可在每一列按照输入的内容进行查询过滤。（1分）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③系统管理员可根据不同的部门、岗位、角色进行配置设置不同的门户规划。（1分）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④支持用户将常用查询条件保存为按钮快捷查询。（1分）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（8）演示重庆市财政预算一体化系统中与内控服务强关联的板块业务逻辑与操作。（满分4分）：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①供应商须提供重庆市预算管理一体化系统核算板块的业务逻辑解析及全流程操作演示，包括账务处理、机制凭证设置等核心功能，以证明其具备承接本项目所需的技术能力。（2分）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②供应商须提供重庆市预算管理一体化系统预算指标板块的业务逻辑解析及全流程操作演示，重点展示指标调剂、追加等核心功能，以证明其具备承接本项目所需的技术能力。（1分）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nil"/>
              <w:left w:val="nil"/>
              <w:bottom w:val="single" w:color="auto" w:sz="4" w:space="0"/>
              <w:right w:val="nil"/>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③供应商须提供重庆市财政预算管理一体化系统预算执行板块的业务逻辑解析及全流程操作演示，重点展示支付申请、资金支付、支付更正、资金退回等核心功能，以证明其具备承接本项目所需的技术能力。（1分）</w:t>
            </w:r>
          </w:p>
        </w:tc>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97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技术部分评分点</w:t>
            </w:r>
            <w:r>
              <w:rPr>
                <w:rFonts w:hint="default" w:ascii="Times New Roman" w:hAnsi="Times New Roman" w:eastAsia="宋体" w:cs="Times New Roman"/>
                <w:color w:val="000000" w:themeColor="text1"/>
                <w:sz w:val="21"/>
                <w:szCs w:val="21"/>
                <w:highlight w:val="none"/>
                <w14:textFill>
                  <w14:solidFill>
                    <w14:schemeClr w14:val="tx1"/>
                  </w14:solidFill>
                </w14:textFill>
              </w:rPr>
              <w:t>中所称的“瑕疵”：</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①内容表述不完整或</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无实质意义叙述，或</w:t>
            </w:r>
            <w:r>
              <w:rPr>
                <w:rFonts w:hint="default" w:ascii="Times New Roman" w:hAnsi="Times New Roman" w:eastAsia="宋体" w:cs="Times New Roman"/>
                <w:color w:val="000000" w:themeColor="text1"/>
                <w:sz w:val="21"/>
                <w:szCs w:val="21"/>
                <w:highlight w:val="none"/>
                <w14:textFill>
                  <w14:solidFill>
                    <w14:schemeClr w14:val="tx1"/>
                  </w14:solidFill>
                </w14:textFill>
              </w:rPr>
              <w:t>缺少关键分析点；</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②计划及措施不科学合理方案；</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③内容表述前后矛盾、无连贯性、内容存在逻辑漏洞；</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④常识性错误；</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⑤技术措施保障安排并不适用本项目特性或非专门针对本项目制定；</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⑥方案中提出的措施举措不利于本项目目标的实现；</w:t>
            </w:r>
          </w:p>
          <w:p>
            <w:pP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⑦现有技术条件下不可能实现采购目标；</w:t>
            </w:r>
          </w:p>
          <w:p>
            <w:pPr>
              <w:jc w:val="both"/>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上述任意一种情形为1处瑕疵。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rPr>
        <w:tc>
          <w:tcPr>
            <w:tcW w:w="8964" w:type="dxa"/>
            <w:gridSpan w:val="3"/>
            <w:tcBorders>
              <w:top w:val="single" w:color="auto" w:sz="4" w:space="0"/>
              <w:left w:val="single" w:color="000000" w:sz="8" w:space="0"/>
              <w:bottom w:val="nil"/>
              <w:right w:val="nil"/>
            </w:tcBorders>
            <w:shd w:val="clear" w:color="auto" w:fill="F2F2F2"/>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三、商务部分（10%）</w:t>
            </w:r>
          </w:p>
        </w:tc>
        <w:tc>
          <w:tcPr>
            <w:tcW w:w="780" w:type="dxa"/>
            <w:tcBorders>
              <w:top w:val="single" w:color="auto" w:sz="4" w:space="0"/>
              <w:left w:val="single" w:color="000000" w:sz="8" w:space="0"/>
              <w:bottom w:val="nil"/>
              <w:right w:val="single" w:color="000000" w:sz="8" w:space="0"/>
            </w:tcBorders>
            <w:shd w:val="clear" w:color="auto" w:fill="F2F2F2"/>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5" w:hRule="atLeast"/>
        </w:trPr>
        <w:tc>
          <w:tcPr>
            <w:tcW w:w="1452" w:type="dxa"/>
            <w:vMerge w:val="restart"/>
            <w:tcBorders>
              <w:top w:val="single" w:color="000000" w:sz="4" w:space="0"/>
              <w:left w:val="single" w:color="000000" w:sz="8" w:space="0"/>
              <w:bottom w:val="single" w:color="000000" w:sz="4" w:space="0"/>
              <w:right w:val="nil"/>
            </w:tcBorders>
            <w:shd w:val="clear" w:color="auto" w:fill="auto"/>
            <w:vAlign w:val="center"/>
          </w:tcPr>
          <w:p>
            <w:pPr>
              <w:keepNext w:val="0"/>
              <w:keepLines w:val="0"/>
              <w:widowControl/>
              <w:suppressLineNumbers w:val="0"/>
              <w:ind w:firstLine="211" w:firstLineChars="100"/>
              <w:jc w:val="both"/>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商务部分</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（满分10分）</w:t>
            </w:r>
          </w:p>
        </w:tc>
        <w:tc>
          <w:tcPr>
            <w:tcW w:w="1365"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1.公司</w:t>
            </w:r>
            <w:r>
              <w:rPr>
                <w:rFonts w:hint="eastAsia" w:asciiTheme="minorEastAsia" w:hAnsi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实力</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（满分</w:t>
            </w:r>
            <w:r>
              <w:rPr>
                <w:rFonts w:hint="eastAsia" w:asciiTheme="minorEastAsia" w:hAnsi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分）</w:t>
            </w:r>
          </w:p>
        </w:tc>
        <w:tc>
          <w:tcPr>
            <w:tcW w:w="6147" w:type="dxa"/>
            <w:tcBorders>
              <w:top w:val="single" w:color="000000" w:sz="4" w:space="0"/>
              <w:left w:val="nil"/>
              <w:bottom w:val="single" w:color="000000" w:sz="4" w:space="0"/>
              <w:right w:val="nil"/>
            </w:tcBorders>
            <w:shd w:val="clear" w:color="auto" w:fill="auto"/>
            <w:vAlign w:val="center"/>
          </w:tcPr>
          <w:p>
            <w:pPr>
              <w:pStyle w:val="17"/>
              <w:keepNext w:val="0"/>
              <w:keepLines w:val="0"/>
              <w:widowControl/>
              <w:suppressLineNumbers w:val="0"/>
              <w:jc w:val="left"/>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供应商具备以下证书：</w:t>
            </w:r>
          </w:p>
          <w:p>
            <w:pPr>
              <w:pStyle w:val="17"/>
              <w:keepNext w:val="0"/>
              <w:keepLines w:val="0"/>
              <w:widowControl/>
              <w:suppressLineNumbers w:val="0"/>
              <w:jc w:val="left"/>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①ITSS成熟性等级三级（含以上）；</w:t>
            </w:r>
          </w:p>
          <w:p>
            <w:pPr>
              <w:pStyle w:val="17"/>
              <w:keepNext w:val="0"/>
              <w:keepLines w:val="0"/>
              <w:widowControl/>
              <w:suppressLineNumbers w:val="0"/>
              <w:jc w:val="left"/>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②ISO27001信息安全管理体系认证；</w:t>
            </w:r>
          </w:p>
          <w:p>
            <w:pPr>
              <w:pStyle w:val="17"/>
              <w:keepNext w:val="0"/>
              <w:keepLines w:val="0"/>
              <w:widowControl/>
              <w:suppressLineNumbers w:val="0"/>
              <w:jc w:val="left"/>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③ISO20000信息技术服务管理体系认证书；</w:t>
            </w:r>
          </w:p>
          <w:p>
            <w:pPr>
              <w:pStyle w:val="17"/>
              <w:keepNext w:val="0"/>
              <w:keepLines w:val="0"/>
              <w:widowControl/>
              <w:suppressLineNumbers w:val="0"/>
              <w:jc w:val="left"/>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④IS09001质量管理体系认证证书；</w:t>
            </w:r>
          </w:p>
          <w:p>
            <w:pPr>
              <w:pStyle w:val="17"/>
              <w:keepNext w:val="0"/>
              <w:keepLines w:val="0"/>
              <w:widowControl/>
              <w:suppressLineNumbers w:val="0"/>
              <w:jc w:val="left"/>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每提供一项，得1分，没有得0分，最高得4分。</w:t>
            </w:r>
          </w:p>
          <w:p>
            <w:pPr>
              <w:pStyle w:val="17"/>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供应商应提供在有效期内的证书复印件，并加盖供应商单位公章。</w:t>
            </w:r>
          </w:p>
        </w:tc>
        <w:tc>
          <w:tcPr>
            <w:tcW w:w="780"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452" w:type="dxa"/>
            <w:vMerge w:val="continue"/>
            <w:tcBorders>
              <w:top w:val="single" w:color="000000" w:sz="4" w:space="0"/>
              <w:left w:val="single" w:color="000000" w:sz="8"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restart"/>
            <w:tcBorders>
              <w:top w:val="single" w:color="000000" w:sz="4"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Theme="minorEastAsia" w:hAnsi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类似业绩</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（满分</w:t>
            </w:r>
            <w:r>
              <w:rPr>
                <w:rFonts w:hint="eastAsia" w:asciiTheme="minorEastAsia" w:hAnsi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分）</w:t>
            </w:r>
          </w:p>
        </w:tc>
        <w:tc>
          <w:tcPr>
            <w:tcW w:w="6147"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供应商</w:t>
            </w: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每</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提供</w:t>
            </w: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1个</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2025年1月1日至今（以合同签订时间为准）有关行政事业单位财务内控服务项目业绩，得1分，</w:t>
            </w: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本项最多得2分</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响应文件中提供合同复印件并加盖单位公章。</w:t>
            </w:r>
          </w:p>
        </w:tc>
        <w:tc>
          <w:tcPr>
            <w:tcW w:w="780" w:type="dxa"/>
            <w:vMerge w:val="restart"/>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r>
              <w:rPr>
                <w:rFonts w:hint="eastAsia" w:asciiTheme="minorEastAsia" w:hAnsi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1" w:hRule="atLeast"/>
        </w:trPr>
        <w:tc>
          <w:tcPr>
            <w:tcW w:w="1452" w:type="dxa"/>
            <w:vMerge w:val="continue"/>
            <w:tcBorders>
              <w:top w:val="single" w:color="000000" w:sz="4" w:space="0"/>
              <w:left w:val="single" w:color="000000" w:sz="8" w:space="0"/>
              <w:bottom w:val="single" w:color="000000" w:sz="4" w:space="0"/>
              <w:right w:val="nil"/>
            </w:tcBorders>
            <w:shd w:val="clear" w:color="auto" w:fill="auto"/>
            <w:vAlign w:val="center"/>
          </w:tcPr>
          <w:p>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1365" w:type="dxa"/>
            <w:vMerge w:val="continue"/>
            <w:tcBorders>
              <w:left w:val="single" w:color="000000" w:sz="8" w:space="0"/>
              <w:bottom w:val="single" w:color="000000" w:sz="4" w:space="0"/>
              <w:right w:val="single" w:color="000000" w:sz="8" w:space="0"/>
            </w:tcBorders>
            <w:shd w:val="clear" w:color="auto" w:fill="auto"/>
            <w:vAlign w:val="center"/>
          </w:tcPr>
          <w:p>
            <w:pPr>
              <w:snapToGrid w:val="0"/>
              <w:ind w:left="0" w:leftChars="0" w:right="0" w:rightChars="0" w:firstLine="0" w:firstLineChars="0"/>
              <w:jc w:val="left"/>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c>
          <w:tcPr>
            <w:tcW w:w="6147" w:type="dxa"/>
            <w:tcBorders>
              <w:top w:val="single" w:color="000000" w:sz="4" w:space="0"/>
              <w:left w:val="nil"/>
              <w:bottom w:val="single" w:color="000000" w:sz="8" w:space="0"/>
              <w:right w:val="nil"/>
            </w:tcBorders>
            <w:shd w:val="clear" w:color="auto" w:fill="auto"/>
            <w:vAlign w:val="center"/>
          </w:tcPr>
          <w:p>
            <w:pPr>
              <w:keepNext w:val="0"/>
              <w:keepLines w:val="0"/>
              <w:widowControl/>
              <w:suppressLineNumbers w:val="0"/>
              <w:snapToGrid w:val="0"/>
              <w:spacing w:line="400" w:lineRule="exact"/>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0"/>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供应商</w:t>
            </w: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每</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提供</w:t>
            </w: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1个</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2025年1月1日至今（以合同签订时间为准）预算管理一体化</w:t>
            </w: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全口径</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服务项目业绩，得</w:t>
            </w: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分，</w:t>
            </w: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本项最多得4</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分。响应文件中提供合同复印件并加盖单位公章。</w:t>
            </w:r>
          </w:p>
        </w:tc>
        <w:tc>
          <w:tcPr>
            <w:tcW w:w="780" w:type="dxa"/>
            <w:vMerge w:val="continue"/>
            <w:tcBorders>
              <w:top w:val="single" w:color="000000" w:sz="4" w:space="0"/>
              <w:left w:val="single" w:color="000000" w:sz="8" w:space="0"/>
              <w:bottom w:val="single" w:color="000000" w:sz="4" w:space="0"/>
              <w:right w:val="single" w:color="000000" w:sz="8" w:space="0"/>
            </w:tcBorders>
            <w:shd w:val="clear" w:color="auto" w:fill="auto"/>
            <w:vAlign w:val="center"/>
          </w:tcPr>
          <w:p>
            <w:pPr>
              <w:snapToGrid w:val="0"/>
              <w:ind w:left="0" w:leftChars="0" w:right="0" w:rightChars="0" w:firstLine="0" w:firstLineChars="0"/>
              <w:jc w:val="left"/>
              <w:rPr>
                <w:rFonts w:hint="eastAsia" w:asciiTheme="minorEastAsia" w:hAnsiTheme="minorEastAsia" w:eastAsiaTheme="minorEastAsia" w:cstheme="minorEastAsia"/>
                <w:b/>
                <w:bCs/>
                <w:i w:val="0"/>
                <w:iCs w:val="0"/>
                <w:color w:val="000000" w:themeColor="text1"/>
                <w:sz w:val="20"/>
                <w:szCs w:val="21"/>
                <w:highlight w:val="none"/>
                <w:u w:val="none"/>
                <w14:textFill>
                  <w14:solidFill>
                    <w14:schemeClr w14:val="tx1"/>
                  </w14:solidFill>
                </w14:textFill>
              </w:rPr>
            </w:pPr>
          </w:p>
        </w:tc>
      </w:tr>
    </w:tbl>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bookmarkStart w:id="37" w:name="_GoBack"/>
      <w:bookmarkEnd w:id="37"/>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出现以下情况之一的，应重新组织采购：</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（1）出现影响采购公正的违法、违规行为的；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的报价均超过了采购预算，采购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不能支付的；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（3）因不可抗力导致重大变故，采购任务取消的。</w:t>
      </w:r>
    </w:p>
    <w:p>
      <w:pPr>
        <w:pStyle w:val="6"/>
        <w:pageBreakBefore w:val="0"/>
        <w:kinsoku/>
        <w:wordWrap/>
        <w:overflowPunct/>
        <w:topLinePunct w:val="0"/>
        <w:autoSpaceDE/>
        <w:autoSpaceDN/>
        <w:bidi w:val="0"/>
        <w:adjustRightInd/>
        <w:spacing w:line="460" w:lineRule="exact"/>
        <w:textAlignment w:val="auto"/>
        <w:rPr>
          <w:rStyle w:val="13"/>
          <w:rFonts w:hint="eastAsia"/>
          <w:lang w:val="en-US" w:eastAsia="zh-CN"/>
        </w:rPr>
      </w:pPr>
      <w:r>
        <w:rPr>
          <w:rStyle w:val="13"/>
          <w:rFonts w:hint="eastAsia"/>
          <w:lang w:val="en-US" w:eastAsia="zh-CN"/>
        </w:rPr>
        <w:t xml:space="preserve">九、采购异常低价处理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 xml:space="preserve">（一）采购评审中出现下列情形之一的，应当启动异常低价投标（响应）审查程序： </w:t>
      </w:r>
    </w:p>
    <w:p>
      <w:pPr>
        <w:keepNext w:val="0"/>
        <w:keepLines w:val="0"/>
        <w:widowControl/>
        <w:suppressLineNumbers w:val="0"/>
        <w:ind w:firstLine="480" w:firstLineChars="200"/>
        <w:jc w:val="left"/>
        <w:rPr>
          <w:color w:val="auto"/>
        </w:rPr>
      </w:pPr>
      <w:r>
        <w:rPr>
          <w:rFonts w:hint="eastAsia" w:ascii="宋体" w:hAnsi="宋体" w:eastAsia="宋体" w:cs="宋体"/>
          <w:color w:val="333333"/>
          <w:kern w:val="0"/>
          <w:sz w:val="24"/>
          <w:szCs w:val="24"/>
          <w:lang w:val="en-US" w:eastAsia="zh-CN" w:bidi="ar"/>
        </w:rPr>
        <w:t>1.投标（响应）报价低于全部通过符合性审查供应商投标（响应）报价平均值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%的，即投标（响应）报价&lt;全部通过符合性审查供应商投标（响应）报价平均</w:t>
      </w:r>
      <w:r>
        <w:rPr>
          <w:rFonts w:hint="eastAsia" w:ascii="宋体" w:hAnsi="宋体" w:eastAsia="宋体" w:cs="宋体"/>
          <w:color w:val="auto"/>
          <w:kern w:val="0"/>
          <w:sz w:val="24"/>
          <w:szCs w:val="24"/>
          <w:lang w:val="en-US" w:eastAsia="zh-CN" w:bidi="ar"/>
        </w:rPr>
        <w:t>值×</w:t>
      </w:r>
      <w:r>
        <w:rPr>
          <w:rFonts w:hint="eastAsia" w:ascii="宋体" w:hAnsi="宋体" w:cs="宋体"/>
          <w:color w:val="auto"/>
          <w:kern w:val="0"/>
          <w:sz w:val="24"/>
          <w:szCs w:val="24"/>
          <w:lang w:val="en-US" w:eastAsia="zh-CN" w:bidi="ar"/>
        </w:rPr>
        <w:t>65</w:t>
      </w:r>
      <w:r>
        <w:rPr>
          <w:rFonts w:hint="eastAsia" w:ascii="宋体" w:hAnsi="宋体" w:eastAsia="宋体" w:cs="宋体"/>
          <w:color w:val="auto"/>
          <w:kern w:val="0"/>
          <w:sz w:val="24"/>
          <w:szCs w:val="24"/>
          <w:lang w:val="en-US" w:eastAsia="zh-CN" w:bidi="ar"/>
        </w:rPr>
        <w:t xml:space="preserve">%； </w:t>
      </w:r>
    </w:p>
    <w:p>
      <w:pPr>
        <w:keepNext w:val="0"/>
        <w:keepLines w:val="0"/>
        <w:widowControl/>
        <w:suppressLineNumbers w:val="0"/>
        <w:ind w:firstLine="480" w:firstLineChars="200"/>
        <w:jc w:val="left"/>
        <w:rPr>
          <w:color w:val="auto"/>
        </w:rPr>
      </w:pPr>
      <w:r>
        <w:rPr>
          <w:rFonts w:hint="eastAsia" w:ascii="宋体" w:hAnsi="宋体" w:eastAsia="宋体" w:cs="宋体"/>
          <w:color w:val="auto"/>
          <w:kern w:val="0"/>
          <w:sz w:val="24"/>
          <w:szCs w:val="24"/>
          <w:lang w:val="en-US" w:eastAsia="zh-CN" w:bidi="ar"/>
        </w:rPr>
        <w:t>2.投标（响应）报价低于通过符合性审查的次低报价供应商投标（响应）报价</w:t>
      </w:r>
      <w:r>
        <w:rPr>
          <w:rFonts w:hint="eastAsia" w:ascii="宋体" w:hAnsi="宋体" w:cs="宋体"/>
          <w:color w:val="auto"/>
          <w:kern w:val="0"/>
          <w:sz w:val="24"/>
          <w:szCs w:val="24"/>
          <w:lang w:val="en-US" w:eastAsia="zh-CN" w:bidi="ar"/>
        </w:rPr>
        <w:t>65</w:t>
      </w:r>
      <w:r>
        <w:rPr>
          <w:rFonts w:hint="eastAsia" w:ascii="宋体" w:hAnsi="宋体" w:eastAsia="宋体" w:cs="宋体"/>
          <w:color w:val="auto"/>
          <w:kern w:val="0"/>
          <w:sz w:val="24"/>
          <w:szCs w:val="24"/>
          <w:lang w:val="en-US" w:eastAsia="zh-CN" w:bidi="ar"/>
        </w:rPr>
        <w:t>%的，即投标（响应）报价&lt;通过符合性审查的次低报价供应商投标（响应）报价×</w:t>
      </w:r>
      <w:r>
        <w:rPr>
          <w:rFonts w:hint="eastAsia" w:ascii="宋体" w:hAnsi="宋体" w:cs="宋体"/>
          <w:color w:val="auto"/>
          <w:kern w:val="0"/>
          <w:sz w:val="24"/>
          <w:szCs w:val="24"/>
          <w:lang w:val="en-US" w:eastAsia="zh-CN" w:bidi="ar"/>
        </w:rPr>
        <w:t>65</w:t>
      </w:r>
      <w:r>
        <w:rPr>
          <w:rFonts w:hint="eastAsia" w:ascii="宋体" w:hAnsi="宋体" w:eastAsia="宋体" w:cs="宋体"/>
          <w:color w:val="auto"/>
          <w:kern w:val="0"/>
          <w:sz w:val="24"/>
          <w:szCs w:val="24"/>
          <w:lang w:val="en-US" w:eastAsia="zh-CN" w:bidi="ar"/>
        </w:rPr>
        <w:t xml:space="preserve">%； </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  3.投标（响应）报价低于采购项目最高限价</w:t>
      </w:r>
      <w:r>
        <w:rPr>
          <w:rFonts w:hint="eastAsia" w:ascii="宋体" w:hAnsi="宋体" w:cs="宋体"/>
          <w:color w:val="auto"/>
          <w:kern w:val="0"/>
          <w:sz w:val="24"/>
          <w:szCs w:val="24"/>
          <w:lang w:val="en-US" w:eastAsia="zh-CN" w:bidi="ar"/>
        </w:rPr>
        <w:t>65</w:t>
      </w:r>
      <w:r>
        <w:rPr>
          <w:rFonts w:hint="eastAsia" w:ascii="宋体" w:hAnsi="宋体" w:eastAsia="宋体" w:cs="宋体"/>
          <w:color w:val="auto"/>
          <w:kern w:val="0"/>
          <w:sz w:val="24"/>
          <w:szCs w:val="24"/>
          <w:lang w:val="en-US" w:eastAsia="zh-CN" w:bidi="ar"/>
        </w:rPr>
        <w:t>%的，即投标（响应）报价&lt;采购项目最高限价×</w:t>
      </w:r>
      <w:r>
        <w:rPr>
          <w:rFonts w:hint="eastAsia" w:ascii="宋体" w:hAnsi="宋体" w:cs="宋体"/>
          <w:color w:val="auto"/>
          <w:kern w:val="0"/>
          <w:sz w:val="24"/>
          <w:szCs w:val="24"/>
          <w:lang w:val="en-US" w:eastAsia="zh-CN" w:bidi="ar"/>
        </w:rPr>
        <w:t>65</w:t>
      </w:r>
      <w:r>
        <w:rPr>
          <w:rFonts w:hint="eastAsia" w:ascii="宋体" w:hAnsi="宋体" w:eastAsia="宋体" w:cs="宋体"/>
          <w:color w:val="auto"/>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4.评审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基于专业判断，认为供应商报价过低，有可能影响产品质量或者不能诚信履约的其他情形。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（二）评审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启动异常低价投标（响应）审查后，属于前述第1项至第4项情形的，应当要求相关供应商在评审现场合理的时间内对投标（响应）价格作出解释</w:t>
      </w:r>
      <w:r>
        <w:rPr>
          <w:rFonts w:hint="eastAsia" w:ascii="宋体" w:hAnsi="宋体" w:cs="宋体"/>
          <w:color w:val="333333"/>
          <w:kern w:val="0"/>
          <w:sz w:val="24"/>
          <w:szCs w:val="24"/>
          <w:lang w:val="en-US" w:eastAsia="zh-CN" w:bidi="ar"/>
        </w:rPr>
        <w:t>，并</w:t>
      </w:r>
      <w:r>
        <w:rPr>
          <w:rFonts w:hint="eastAsia" w:ascii="宋体" w:hAnsi="宋体" w:eastAsia="宋体" w:cs="宋体"/>
          <w:color w:val="333333"/>
          <w:kern w:val="0"/>
          <w:sz w:val="24"/>
          <w:szCs w:val="24"/>
          <w:lang w:val="en-US" w:eastAsia="zh-CN"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宋体" w:hAnsi="宋体" w:eastAsia="宋体" w:cs="宋体"/>
          <w:color w:val="333333"/>
          <w:kern w:val="0"/>
          <w:sz w:val="24"/>
          <w:szCs w:val="24"/>
          <w:lang w:val="en-US" w:eastAsia="zh-CN" w:bidi="ar"/>
        </w:rPr>
        <w:t>采购人、采购代理机构应当为评审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333333"/>
          <w:kern w:val="0"/>
          <w:sz w:val="24"/>
          <w:szCs w:val="24"/>
          <w:lang w:val="en-US" w:eastAsia="zh-CN" w:bidi="ar"/>
        </w:rPr>
        <w:t>信息</w:t>
      </w:r>
      <w:r>
        <w:rPr>
          <w:rFonts w:hint="eastAsia" w:ascii="宋体" w:hAnsi="宋体" w:eastAsia="宋体" w:cs="宋体"/>
          <w:color w:val="333333"/>
          <w:kern w:val="0"/>
          <w:sz w:val="24"/>
          <w:szCs w:val="24"/>
          <w:lang w:val="en-US" w:eastAsia="zh-CN" w:bidi="ar"/>
        </w:rPr>
        <w:t xml:space="preserve">的，应当严格遵守评审工作纪律，不得实施影响评审公正的行为。 </w:t>
      </w:r>
    </w:p>
    <w:p>
      <w:pPr>
        <w:pStyle w:val="6"/>
        <w:pageBreakBefore w:val="0"/>
        <w:kinsoku/>
        <w:wordWrap/>
        <w:overflowPunct/>
        <w:topLinePunct w:val="0"/>
        <w:autoSpaceDE/>
        <w:autoSpaceDN/>
        <w:bidi w:val="0"/>
        <w:adjustRightInd/>
        <w:spacing w:line="460" w:lineRule="exact"/>
        <w:textAlignment w:val="auto"/>
        <w:rPr>
          <w:rStyle w:val="13"/>
          <w:rFonts w:hint="eastAsia"/>
          <w:lang w:val="en-US" w:eastAsia="zh-CN"/>
        </w:rPr>
      </w:pPr>
      <w:bookmarkStart w:id="13" w:name="_Toc102227321"/>
      <w:bookmarkStart w:id="14" w:name="_Toc187655633"/>
      <w:bookmarkStart w:id="15" w:name="_Toc372538157"/>
      <w:r>
        <w:rPr>
          <w:rStyle w:val="13"/>
          <w:rFonts w:hint="eastAsia"/>
          <w:lang w:val="en-US" w:eastAsia="zh-CN"/>
        </w:rPr>
        <w:t>十、成交通知</w:t>
      </w:r>
      <w:bookmarkEnd w:id="13"/>
      <w:bookmarkEnd w:id="14"/>
      <w:bookmarkEnd w:id="15"/>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将以书面形式发出《</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通知书》一经发出即发生法律效力。</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通知书》将作为签订合同的依据。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3、签订合同时，采购单位根据需要有权提出对技术条件发生变化的货物、服务或者工程作局部调整或变更数量，但需经双方共同认定。</w:t>
      </w:r>
    </w:p>
    <w:p>
      <w:pPr>
        <w:pStyle w:val="6"/>
        <w:pageBreakBefore w:val="0"/>
        <w:kinsoku/>
        <w:wordWrap/>
        <w:overflowPunct/>
        <w:topLinePunct w:val="0"/>
        <w:autoSpaceDE/>
        <w:autoSpaceDN/>
        <w:bidi w:val="0"/>
        <w:adjustRightInd/>
        <w:spacing w:line="460" w:lineRule="exact"/>
        <w:textAlignment w:val="auto"/>
        <w:rPr>
          <w:rStyle w:val="13"/>
          <w:rFonts w:hint="eastAsia"/>
          <w:lang w:val="en-US" w:eastAsia="zh-CN"/>
        </w:rPr>
      </w:pPr>
      <w:bookmarkStart w:id="16" w:name="_Toc102227322"/>
      <w:bookmarkStart w:id="17" w:name="_Toc187655634"/>
      <w:bookmarkStart w:id="18" w:name="_Toc372538158"/>
      <w:r>
        <w:rPr>
          <w:rStyle w:val="13"/>
          <w:rFonts w:hint="eastAsia"/>
          <w:lang w:val="en-US" w:eastAsia="zh-CN"/>
        </w:rPr>
        <w:t>十一、签订</w:t>
      </w:r>
      <w:bookmarkEnd w:id="16"/>
      <w:r>
        <w:rPr>
          <w:rStyle w:val="13"/>
          <w:rFonts w:hint="eastAsia"/>
          <w:lang w:val="en-US" w:eastAsia="zh-CN"/>
        </w:rPr>
        <w:t>合同</w:t>
      </w:r>
      <w:bookmarkEnd w:id="17"/>
      <w:bookmarkEnd w:id="18"/>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1、中标单位按《中标通知书》指定时间、地点与采购单位签订采购合同。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2、本询比文件、中标单位的投标文件及有效承诺文件等，均为签订合同的依据。</w:t>
      </w:r>
    </w:p>
    <w:p>
      <w:pPr>
        <w:pStyle w:val="6"/>
        <w:pageBreakBefore w:val="0"/>
        <w:kinsoku/>
        <w:wordWrap/>
        <w:overflowPunct/>
        <w:topLinePunct w:val="0"/>
        <w:autoSpaceDE/>
        <w:autoSpaceDN/>
        <w:bidi w:val="0"/>
        <w:adjustRightInd/>
        <w:spacing w:line="460" w:lineRule="exact"/>
        <w:textAlignment w:val="auto"/>
        <w:rPr>
          <w:rStyle w:val="13"/>
          <w:rFonts w:hint="eastAsia"/>
          <w:lang w:val="en-US" w:eastAsia="zh-CN"/>
        </w:rPr>
      </w:pPr>
      <w:r>
        <w:rPr>
          <w:rStyle w:val="13"/>
          <w:rFonts w:hint="eastAsia"/>
          <w:lang w:val="en-US" w:eastAsia="zh-CN"/>
        </w:rPr>
        <w:t>十二、采购执行</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Arial"/>
          <w:color w:val="auto"/>
          <w:sz w:val="24"/>
          <w:szCs w:val="24"/>
          <w:lang w:val="en-US" w:eastAsia="zh-CN"/>
        </w:rPr>
        <w:t>1、投标单位中标后，应按照本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文件要求在中标通知书发出之日起30日内和采购单位签订合同，保质保量完成采购任务；</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2、本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rPr>
        <w:t>3、投标单位中标后因自身原因不能按时保质保量完成采购任务</w:t>
      </w:r>
      <w:r>
        <w:rPr>
          <w:rFonts w:hint="eastAsia" w:asciiTheme="minorEastAsia" w:hAnsiTheme="minorEastAsia" w:cstheme="minorEastAsia"/>
          <w:sz w:val="24"/>
          <w:szCs w:val="24"/>
          <w:lang w:eastAsia="zh-CN"/>
        </w:rPr>
        <w:t>，</w:t>
      </w:r>
      <w:r>
        <w:rPr>
          <w:rFonts w:hint="eastAsia" w:ascii="宋体" w:hAnsi="宋体" w:cs="Arial"/>
          <w:sz w:val="24"/>
          <w:szCs w:val="24"/>
          <w:lang w:val="en-US" w:eastAsia="zh-CN"/>
        </w:rPr>
        <w:t>采购单位有权要求中标单位赔偿全部损失。</w:t>
      </w: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tabs>
          <w:tab w:val="left" w:pos="6300"/>
        </w:tabs>
        <w:snapToGrid w:val="0"/>
        <w:spacing w:line="360" w:lineRule="auto"/>
        <w:rPr>
          <w:rFonts w:hint="eastAsia" w:ascii="宋体" w:hAnsi="宋体" w:cs="Arial"/>
          <w:sz w:val="24"/>
          <w:szCs w:val="24"/>
          <w:lang w:val="en-US" w:eastAsia="zh-CN"/>
        </w:rPr>
      </w:pPr>
    </w:p>
    <w:p>
      <w:pPr>
        <w:pStyle w:val="2"/>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3"/>
        <w:rPr>
          <w:rFonts w:hint="eastAsia" w:ascii="宋体" w:hAnsi="宋体" w:cs="Arial"/>
          <w:sz w:val="24"/>
          <w:szCs w:val="24"/>
          <w:lang w:val="en-US" w:eastAsia="zh-CN"/>
        </w:rPr>
      </w:pPr>
    </w:p>
    <w:p>
      <w:pPr>
        <w:pStyle w:val="5"/>
        <w:jc w:val="center"/>
        <w:rPr>
          <w:rStyle w:val="13"/>
          <w:rFonts w:hint="eastAsia" w:ascii="Arial" w:hAnsi="Arial" w:eastAsia="黑体" w:cstheme="minorBidi"/>
          <w:b/>
          <w:color w:val="auto"/>
          <w:kern w:val="2"/>
          <w:sz w:val="32"/>
          <w:szCs w:val="22"/>
          <w:lang w:val="en-US" w:eastAsia="zh-CN" w:bidi="ar-SA"/>
        </w:rPr>
      </w:pPr>
      <w:bookmarkStart w:id="19" w:name="_Toc25725122"/>
      <w:bookmarkStart w:id="20" w:name="_Toc372538159"/>
      <w:bookmarkStart w:id="21" w:name="_Toc11641054"/>
      <w:r>
        <w:rPr>
          <w:rStyle w:val="13"/>
          <w:rFonts w:hint="eastAsia" w:ascii="Arial" w:hAnsi="Arial" w:eastAsia="黑体" w:cstheme="minorBidi"/>
          <w:b/>
          <w:color w:val="auto"/>
          <w:kern w:val="2"/>
          <w:sz w:val="32"/>
          <w:szCs w:val="22"/>
          <w:lang w:val="en-US" w:eastAsia="zh-CN" w:bidi="ar-SA"/>
        </w:rPr>
        <w:t>第三篇  采购项目内容及技术要求</w:t>
      </w:r>
      <w:bookmarkEnd w:id="19"/>
      <w:bookmarkEnd w:id="20"/>
      <w:bookmarkEnd w:id="21"/>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color w:val="auto"/>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重庆中国三峡博物馆位于渝中区人民路236号，具有文物研究、展示的职能。</w:t>
      </w:r>
      <w:r>
        <w:rPr>
          <w:rFonts w:hint="eastAsia" w:asciiTheme="minorEastAsia" w:hAnsiTheme="minorEastAsia" w:cstheme="minorEastAsia"/>
          <w:color w:val="auto"/>
          <w:sz w:val="24"/>
          <w:szCs w:val="24"/>
          <w:lang w:val="en-US" w:eastAsia="zh-CN"/>
        </w:rPr>
        <w:t>现</w:t>
      </w:r>
      <w:r>
        <w:rPr>
          <w:rFonts w:hint="eastAsia" w:asciiTheme="minorEastAsia" w:hAnsiTheme="minorEastAsia" w:eastAsiaTheme="minorEastAsia" w:cstheme="minorEastAsia"/>
          <w:color w:val="auto"/>
          <w:sz w:val="24"/>
          <w:szCs w:val="24"/>
        </w:rPr>
        <w:t>采购“财务内控一体化系统服务”。</w:t>
      </w:r>
    </w:p>
    <w:p>
      <w:pPr>
        <w:keepNext w:val="0"/>
        <w:keepLines w:val="0"/>
        <w:pageBreakBefore w:val="0"/>
        <w:kinsoku/>
        <w:wordWrap/>
        <w:overflowPunct/>
        <w:topLinePunct w:val="0"/>
        <w:autoSpaceDE/>
        <w:autoSpaceDN/>
        <w:bidi w:val="0"/>
        <w:adjustRightInd/>
        <w:snapToGrid/>
        <w:spacing w:line="460" w:lineRule="exact"/>
        <w:rPr>
          <w:rStyle w:val="13"/>
          <w:rFonts w:hint="eastAsia" w:eastAsia="宋体" w:asciiTheme="minorHAnsi" w:hAnsiTheme="minorHAnsi" w:cstheme="minorBidi"/>
          <w:b/>
          <w:color w:val="auto"/>
          <w:kern w:val="2"/>
          <w:sz w:val="32"/>
          <w:szCs w:val="22"/>
          <w:lang w:val="en-US" w:eastAsia="zh-CN" w:bidi="ar-SA"/>
        </w:rPr>
      </w:pPr>
      <w:r>
        <w:rPr>
          <w:rStyle w:val="13"/>
          <w:rFonts w:hint="eastAsia" w:eastAsia="宋体" w:asciiTheme="minorHAnsi" w:hAnsiTheme="minorHAnsi" w:cstheme="minorBidi"/>
          <w:b/>
          <w:color w:val="auto"/>
          <w:kern w:val="2"/>
          <w:sz w:val="32"/>
          <w:szCs w:val="22"/>
          <w:lang w:val="en-US" w:eastAsia="zh-CN" w:bidi="ar-SA"/>
        </w:rPr>
        <w:t>一、投标单位要求</w:t>
      </w:r>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1、营业执照经营范围或者法人证书服务范围具有完成本项目的内容。</w:t>
      </w:r>
    </w:p>
    <w:p>
      <w:pPr>
        <w:keepNext w:val="0"/>
        <w:keepLines w:val="0"/>
        <w:pageBreakBefore w:val="0"/>
        <w:numPr>
          <w:ilvl w:val="0"/>
          <w:numId w:val="5"/>
        </w:numPr>
        <w:kinsoku/>
        <w:wordWrap/>
        <w:overflowPunct/>
        <w:topLinePunct w:val="0"/>
        <w:autoSpaceDE/>
        <w:autoSpaceDN/>
        <w:bidi w:val="0"/>
        <w:adjustRightInd/>
        <w:snapToGrid/>
        <w:spacing w:line="460" w:lineRule="exact"/>
        <w:ind w:firstLine="480" w:firstLineChars="200"/>
        <w:rPr>
          <w:rFonts w:hint="eastAsia" w:eastAsiaTheme="minorEastAsia"/>
          <w:color w:val="auto"/>
          <w:lang w:val="en-US" w:eastAsia="zh-CN"/>
        </w:rPr>
      </w:pPr>
      <w:r>
        <w:rPr>
          <w:rFonts w:hint="eastAsia" w:asciiTheme="minorEastAsia" w:hAnsiTheme="minorEastAsia" w:eastAsiaTheme="minorEastAsia" w:cstheme="minorEastAsia"/>
          <w:color w:val="auto"/>
          <w:sz w:val="24"/>
          <w:szCs w:val="24"/>
        </w:rPr>
        <w:t>本项目不接受联合体投标。</w:t>
      </w:r>
    </w:p>
    <w:p>
      <w:pPr>
        <w:pStyle w:val="2"/>
        <w:ind w:firstLine="480" w:firstLineChars="200"/>
        <w:rPr>
          <w:rFonts w:hint="eastAsia" w:eastAsiaTheme="minorEastAsia"/>
          <w:color w:val="auto"/>
          <w:lang w:val="en-US" w:eastAsia="zh-CN"/>
        </w:rPr>
      </w:pPr>
      <w:r>
        <w:rPr>
          <w:rFonts w:hint="eastAsia" w:asciiTheme="minorEastAsia" w:hAnsiTheme="minorEastAsia" w:eastAsiaTheme="minorEastAsia" w:cstheme="minorEastAsia"/>
          <w:color w:val="auto"/>
          <w:sz w:val="24"/>
          <w:szCs w:val="24"/>
          <w:lang w:val="en-US" w:eastAsia="zh-CN"/>
        </w:rPr>
        <w:t>3、本项目不接受合同分包。</w:t>
      </w:r>
    </w:p>
    <w:p>
      <w:pPr>
        <w:keepNext w:val="0"/>
        <w:keepLines w:val="0"/>
        <w:pageBreakBefore w:val="0"/>
        <w:kinsoku/>
        <w:wordWrap/>
        <w:overflowPunct/>
        <w:topLinePunct w:val="0"/>
        <w:autoSpaceDE/>
        <w:autoSpaceDN/>
        <w:bidi w:val="0"/>
        <w:adjustRightInd/>
        <w:snapToGrid/>
        <w:spacing w:line="460" w:lineRule="exact"/>
        <w:rPr>
          <w:rStyle w:val="13"/>
          <w:rFonts w:hint="eastAsia" w:eastAsia="宋体" w:asciiTheme="minorHAnsi" w:hAnsiTheme="minorHAnsi" w:cstheme="minorBidi"/>
          <w:b/>
          <w:color w:val="auto"/>
          <w:kern w:val="2"/>
          <w:sz w:val="32"/>
          <w:szCs w:val="22"/>
          <w:lang w:val="en-US" w:eastAsia="zh-CN" w:bidi="ar-SA"/>
        </w:rPr>
      </w:pPr>
      <w:r>
        <w:rPr>
          <w:rStyle w:val="13"/>
          <w:rFonts w:hint="eastAsia" w:eastAsia="宋体" w:asciiTheme="minorHAnsi" w:hAnsiTheme="minorHAnsi" w:cstheme="minorBidi"/>
          <w:b/>
          <w:color w:val="auto"/>
          <w:kern w:val="2"/>
          <w:sz w:val="32"/>
          <w:szCs w:val="22"/>
          <w:lang w:val="en-US" w:eastAsia="zh-CN" w:bidi="ar-SA"/>
        </w:rPr>
        <w:t>二、采购项目主要目的</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为深入贯彻落实党中央、国务院关于加强财会监督、推进数字政府建设的决策部署，依据财政部《关于全面推进行政事业单位内部控制建设的指导意见》（财会〔2015〕24号）及《行政事业单位内部控制规范》的核心要求，并结合重庆市推动数字经济与实体经济深度融合的发展方向，我馆作为本市重要的文化地标与公共文化服务机构，亟需通过本次财务信息化建设，全面建立并有效实施内部控制，以数字化赋能财务管理现代化，提升内部治理与风险防控能力，为博物馆高质量发展提供坚实保障。</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具体而言，为落实财政部《会计信息化工作规范》（财会〔2024〕11号）与《会计软件基本功能和服务规范》（财会〔2024〕12号）关于加快推进会计数字化转型、破解电子凭证管理难题的要求，本次采购的系统需具备电子凭证接收、解析、报销、支付、入账、归档等全流程处理能力，以规范会计行为，提供可靠的内控信息化服务。</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本单位为财政预算单位，本次采购的财务内控一体化系统服务必须严格遵循财政预算管理一体化相关规范，确保与重庆市财政预算管理一体化系统的业务协同与数据无缝衔接。系统需按照财政统一数据标准，实现预算指标接收、用款计划申报、支付凭证交互、账务数据同步、报表自动汇总上报等全流程管理功能，满足财政指标管理、国库集中支付、会计核算等要求，从而保障单位财务数据与财政监管数据实时、准确、一致，强化财政资金全流程闭环管控。</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同时，为保障系统顺利部署并实现高效整合，本次采购的财务内控一体化系统需与我馆现有的OA平台实现对接。系统应能利用单位现有OA平台的用户体系与身份认证机制，实现统一身份管理、单点登录与组织架构同步，并基于现有基础平台资源进行部署与集成，确保新系统与既有办公流程、信息平台贯通融合，避免形成信息孤岛，提升整体协同管理效能。</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lang w:val="en-US" w:eastAsia="zh-CN" w:bidi="ar"/>
        </w:rPr>
      </w:pPr>
      <w:r>
        <w:rPr>
          <w:rFonts w:hint="eastAsia" w:ascii="宋体" w:hAnsi="宋体" w:eastAsia="宋体" w:cs="宋体"/>
          <w:b w:val="0"/>
          <w:color w:val="000000"/>
          <w:kern w:val="2"/>
          <w:sz w:val="24"/>
          <w:szCs w:val="24"/>
          <w:lang w:val="en-US" w:eastAsia="zh-CN" w:bidi="ar"/>
        </w:rPr>
        <w:t>综上，本次采购旨在通过获取一套具备智能报销、会计核算、预算管理等核心功能，并能同时满足与财政系统无缝衔接、与单位现有OA平台深度集成要求的财务内控一体化系统，全力推进重庆中国三峡博物馆内部控制信息化建设，最终达成提升会计信息质量、资金资源统筹能力与整体财务治理现代化水平的根本目标。</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auto"/>
          <w:kern w:val="2"/>
          <w:sz w:val="24"/>
          <w:szCs w:val="24"/>
        </w:rPr>
      </w:pPr>
      <w:r>
        <w:rPr>
          <w:rStyle w:val="13"/>
          <w:rFonts w:hint="eastAsia" w:eastAsia="宋体" w:asciiTheme="minorHAnsi" w:hAnsiTheme="minorHAnsi" w:cstheme="minorBidi"/>
          <w:b/>
          <w:color w:val="auto"/>
          <w:kern w:val="2"/>
          <w:sz w:val="32"/>
          <w:szCs w:val="22"/>
          <w:lang w:val="en-US" w:eastAsia="zh-CN" w:bidi="ar-SA"/>
        </w:rPr>
        <w:t>三、采购项目主要内容</w:t>
      </w:r>
    </w:p>
    <w:p>
      <w:pPr>
        <w:keepNext w:val="0"/>
        <w:keepLines w:val="0"/>
        <w:widowControl w:val="0"/>
        <w:suppressLineNumbers w:val="0"/>
        <w:autoSpaceDE w:val="0"/>
        <w:autoSpaceDN/>
        <w:spacing w:before="0" w:beforeAutospacing="0" w:after="0" w:afterAutospacing="0" w:line="360" w:lineRule="exact"/>
        <w:ind w:left="0" w:leftChars="0" w:right="0" w:firstLine="360" w:firstLineChars="15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（一）技术服务部分</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根据服务目标，本次财务内控一体化系统服务内容主要包含以下服务板块：基础平台、预算指标管理、智能报销管理、会计核算管理、移动审批、接口管理等核心服务板块，系统需实现与单位现有OA平台的单点登录集成，并与重庆市预算管理一体化系统实现数据互通，通过对相应管控制度与标准的系统化规范，建立覆盖业务全过程的全生命周期闭环管控。</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（1）基础平台</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基础平台需提供各类审批流程的可视化后台配置功能，实现单据的自动流转与逐级推送至审批人待办事项。平台应支持多单位的SAAS管理模式，具备组织、人员、岗位、菜单、首页等管理功能，并支持系统皮肤、主体切换等功能。平台需提供强大的数据统计与报表能力，能够根据单位实际需求，快速进行多维度汇总图表、台账等内容的定制开发与调整。具体功能应涵盖流程个性化与可视化配置、图形报表引擎、表单个性化配置、数据留痕、列表与打印配置、自定义图形报表等，以满足灵活的流程管理与数据分析需求。</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（2）预算指标管理</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① 指标分解</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严格规范单位各项经济活动的支出范围，通过内部预算指标额度的分解下达，并综合运用归口管理、审批控制、支出事项范围限定等方式，对经济业务支出进行有效管控，避免超预算或无预算支出行为。系统需支持根据业务指标和部门归口，对财政批复的预算指标进行内部分解下达。</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② 指标调剂</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将财政批复的全年预算指标及其他来源资金全部纳入单位内部预算指标库进行统一分类管理，作为预算执行过程控制的基础。系统需支持根据业务需要和部门归口，对已下达的预算指标进行内部调剂分配。</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③ 指标追加</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系统需支持导入年初预算批复及预算追加所涉及的基本支出、项目支出的科目、资金量、绩效指标等全部数据。应提供对指标数据的新增、修改、删除、追加/回收、模板化导入导出等功能。</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④ 预算指标监控</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系统需提供图形化展示功能，对支出类型、基本支出、项目支出、指标使用及分配情况进行直观呈现，并支持穿透查询明细。依据年初预算批复及追加数据，对基本支出、项目支出的科目、资金量、绩效指标、政府采购范围及部门使用项目范围实施全过程动态监控。</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（3）智能报销管理</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主要包括费用报销申请、费用报销（出差、劳务费、培训、会议、公务接待、通用报销）及报销审批（在线审核、财务审定、出纳受理、部门/单位支出台账）、资金支付、票池管理等功能。</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① 报销申请</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报销人员填写单据，系统通过联动预算指标自动判断金额是否超支并设置预警，确认无误后在线提交审批。</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② 费用报销</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系统与预算指标管理联动，在报销环节实现预算控制。提供智能填单与预审功能，单据创建后能自动对照预设规则库进行风险点稽核。</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③ 报销审批</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提供流程审核、支出标准控制、单据控制、灵活的单据打印样式配置、业务流程动态监控、消息推送等功能，方便报销人员与审批人员在线及时办理业务，实现规范化、便捷化的报销审批管理。</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④ 人员薪酬</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支持不同类型人员的经费报销，提供个人薪酬数据查看权限管理与汇总查看功能，并能按人员类型制定对应的工资发放方式。</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i w:val="0"/>
          <w:color w:val="000000"/>
          <w:kern w:val="2"/>
          <w:sz w:val="24"/>
          <w:szCs w:val="24"/>
          <w:lang w:val="en-US" w:eastAsia="zh-CN" w:bidi="ar"/>
        </w:rPr>
        <w:t>⑤</w:t>
      </w:r>
      <w:r>
        <w:rPr>
          <w:rFonts w:hint="eastAsia" w:ascii="宋体" w:hAnsi="宋体" w:eastAsia="宋体" w:cs="宋体"/>
          <w:b w:val="0"/>
          <w:color w:val="000000"/>
          <w:kern w:val="2"/>
          <w:sz w:val="24"/>
          <w:szCs w:val="24"/>
          <w:lang w:val="en-US" w:eastAsia="zh-CN" w:bidi="ar"/>
        </w:rPr>
        <w:t xml:space="preserve"> 票池管理</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a.单位票池</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支持单位票池功能，配置税局数字账户信息，定期下载单位收到的数电票至单位票池，实现发票统一归集，解决数电票文件获取与管理难题。</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b.个人票夹</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支持个人票夹功能，通过手机APP实现二维码扫描、拍照上传等多种方式收票和认领发票，为智能报销提供数据基础。</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（4）会计核算管理</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会计核算系统需满足《政府会计制度》的要求。能简便快捷地完成会计科目及各辅助核算项的基础资料管理。系统需实现报销数据自动生成会计凭证，并与重庆市预算管理一体化系统的核算模块对接。应提供完整的账簿查询打印、报表穿透查询统计及自定义报表功能，支持生成财务会计报表，达到财务核算与辅助控制目标。</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（5）移动审批</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支持通过移动端（APP）提交和审批费用申请、报销等流程，可实时查看流转环节及流程图。实现与PC端同步的消息、待办任务、通知公告提醒。支持通过手机APP扫描系统单据上传附件功能。</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（6）接口管理</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通过系统基础平台及逻辑代码控制，提供符合规范的标准数据接口，以单点登录、相互调用、相互关联取值等方式，实现与单位其他系统（特别是现有OA系统）的实时对接与数据共享。</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在符合相关管理规范的基础上，通过标准数据接口，重点实现与重庆市预算管理一体化系统的“预算指标管理”、“预算执行”、“单位会计核算”等模块的无缝衔接，确保内控系统与财政系统、办公系统间的业务流程一体化融合与数据共享，保障业务处理的规范性、便捷性与连贯性，减少人为干预，全面提升业务办理与资金管控效率。</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3.技术要求</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（1）整体要求</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系统应采用成熟稳定的技术架构，并在设计中融入云计算、大数据、人工智能等先进技术与理念，以提升使用体验、降低运行维护成本，确保系统的先进性与前瞻性。架构设计需从实际业务场景与流程分析出发，为全面一体化的信息化建设做好准备。</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（2）并发性要求</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系统需能支撑如多人同时报销等高并发业务场景，确保具有良好的弹性伸缩能力。基于应用中间件构建的所有独立业务模块，其用户并发支持能力与数据处理能力均需满足最大实际用户需求。</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（3）技术架构要求</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系统采用业界成熟、稳定的技术架构，同时融入大数据、人工智能等先进理念，提升应用体验，降低运行维护成本，增强系统的先进性，保持系统的前瞻性。</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系统须采用B/S架构，基于J2EE标准开发，支持私有云部署与集群模式，具备多租户（SAAS）管理能力，并符合国产化要求。技术架构应采用前后端分离机制，前端技术需支撑构建灵活的操作界面，后端宜采用Java语言确保跨平台能力。系统需支持集群数据库的主、从、备模式，并实现对非结构化数据与业务文件的高可靠、高性能管理。</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（4）国产化要求</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本项目设计开发需全面支持国产化环境，确保可部署在国产服务器、国产操作系统、国产数据库及国产中间件等软硬件环境中。系统应支持多种主流及国产操作系统平台（如Unix、Linux、Windows等），能适配Oracle及主流国产数据库，并支持在Tomcat、TongWeb等国产中间件上发布服务。</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（四）培训服务</w:t>
      </w:r>
    </w:p>
    <w:p>
      <w:pPr>
        <w:keepNext w:val="0"/>
        <w:keepLines w:val="0"/>
        <w:widowControl w:val="0"/>
        <w:suppressLineNumbers w:val="0"/>
        <w:autoSpaceDE w:val="0"/>
        <w:autoSpaceDN/>
        <w:spacing w:before="0" w:beforeAutospacing="0" w:after="0" w:afterAutospacing="0" w:line="360" w:lineRule="exact"/>
        <w:ind w:left="0" w:right="0" w:firstLine="480" w:firstLineChars="20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供应商需提供全面、多样化的系统使用培训与技术支持服务。培训内容应完整覆盖本次采购的内控系统各功能模块，以及重庆市预算管理一体化系统的财务相关操作。培训方式应多样化，包括但不限于现场集中培训、提供详细的操作手册、录制培训视频资料等，以满足不同用户的学习需求。</w:t>
      </w:r>
    </w:p>
    <w:p>
      <w:pPr>
        <w:keepNext w:val="0"/>
        <w:keepLines w:val="0"/>
        <w:widowControl w:val="0"/>
        <w:suppressLineNumbers w:val="0"/>
        <w:autoSpaceDE w:val="0"/>
        <w:autoSpaceDN/>
        <w:spacing w:before="0" w:beforeAutospacing="0" w:after="0" w:afterAutospacing="0" w:line="360" w:lineRule="exact"/>
        <w:ind w:left="0" w:right="0" w:firstLine="480"/>
        <w:jc w:val="both"/>
        <w:rPr>
          <w:rStyle w:val="13"/>
          <w:rFonts w:hint="eastAsia" w:eastAsia="宋体" w:asciiTheme="minorHAnsi" w:hAnsiTheme="minorHAnsi" w:cstheme="minorBidi"/>
          <w:b/>
          <w:color w:val="auto"/>
          <w:kern w:val="2"/>
          <w:sz w:val="32"/>
          <w:szCs w:val="22"/>
          <w:lang w:val="en-US" w:eastAsia="zh-CN" w:bidi="ar-SA"/>
        </w:rPr>
      </w:pPr>
      <w:r>
        <w:rPr>
          <w:rStyle w:val="13"/>
          <w:rFonts w:hint="eastAsia" w:eastAsia="宋体" w:cstheme="minorBidi"/>
          <w:b/>
          <w:color w:val="auto"/>
          <w:kern w:val="2"/>
          <w:sz w:val="32"/>
          <w:szCs w:val="22"/>
          <w:lang w:val="en-US" w:eastAsia="zh-CN" w:bidi="ar-SA"/>
        </w:rPr>
        <w:t>四</w:t>
      </w:r>
      <w:r>
        <w:rPr>
          <w:rStyle w:val="13"/>
          <w:rFonts w:hint="eastAsia" w:eastAsia="宋体" w:asciiTheme="minorHAnsi" w:hAnsiTheme="minorHAnsi" w:cstheme="minorBidi"/>
          <w:b/>
          <w:color w:val="auto"/>
          <w:kern w:val="2"/>
          <w:sz w:val="32"/>
          <w:szCs w:val="22"/>
          <w:lang w:val="en-US" w:eastAsia="zh-CN" w:bidi="ar-SA"/>
        </w:rPr>
        <w:t>、其他技术、服务等要求</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服务商要求：须具备丰富的内部控制咨询及预算管理一体化系统信息化系统服务经验；拥有专业的项目管理团队以及固定人员；能够按照项目计划和要求完成工作；能够提供高质量的服务，满足服务需求。本次项目所有建设成果及知识产权均归属我单位所有。</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项目建设期限：2026年12月31日前完成建设。</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服务地点：采购人指定地点。</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人员要求：现场服务人员不少于5人。</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服务商需按照单位项目实施时间安排，完成需求调研、系统部署配置、系统开发、系统培训和系统正式上线工作，按期完成项目验收。</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质量质保期：从2027年1月1日起提供一年的免费系统运维服务，确保系统能够持续稳定运行。提供多种技术支持方式，包括电话支持、远程支持和现场支持等；运维期内，软件系统问题须在半天内解决，安全问题无条件响应，其他问题需要配合解决。</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故障响应时间：提供7*24小时的实时故障响应。因系统技术问题出现重大运行故障，导致系统无法正常运行，且现场人员不能解决时，服务商应在3小时内必须给予响应，指派技术人员赶赴现场，及时组织有关技术专家进行会诊，并在8小时内采取相应措施恢复运行。</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服务商必须严格遵守采购人各项管理规定，遵守项目保密原则。在任何情况下，禁止复制、传播、引用采购人的各类业务数据、工作要求和工作措施等信息。</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1"/>
          <w:szCs w:val="21"/>
        </w:rPr>
      </w:pPr>
      <w:r>
        <w:rPr>
          <w:rFonts w:hint="eastAsia" w:ascii="宋体" w:hAnsi="宋体" w:eastAsia="宋体" w:cs="宋体"/>
          <w:b w:val="0"/>
          <w:color w:val="000000"/>
          <w:kern w:val="2"/>
          <w:sz w:val="24"/>
          <w:szCs w:val="24"/>
          <w:lang w:val="en-US" w:eastAsia="zh-CN" w:bidi="ar"/>
        </w:rPr>
        <w:t>持续改进与优化：定期对系统进行评估和优化，收集用户反馈意见，不断改进系统的性能和功能，提高用户的满意度和使用效果。</w:t>
      </w:r>
    </w:p>
    <w:p>
      <w:pPr>
        <w:keepNext w:val="0"/>
        <w:keepLines w:val="0"/>
        <w:widowControl w:val="0"/>
        <w:suppressLineNumbers w:val="0"/>
        <w:autoSpaceDE w:val="0"/>
        <w:autoSpaceDN/>
        <w:spacing w:before="0" w:beforeAutospacing="0" w:after="0" w:afterAutospacing="0" w:line="360" w:lineRule="exact"/>
        <w:ind w:left="0" w:right="0" w:firstLine="480"/>
        <w:jc w:val="both"/>
        <w:rPr>
          <w:rStyle w:val="13"/>
          <w:rFonts w:hint="eastAsia" w:eastAsia="宋体" w:cstheme="minorBidi"/>
          <w:b/>
          <w:color w:val="auto"/>
          <w:kern w:val="2"/>
          <w:sz w:val="32"/>
          <w:szCs w:val="22"/>
          <w:lang w:val="en-US" w:eastAsia="zh-CN" w:bidi="ar-SA"/>
        </w:rPr>
      </w:pPr>
      <w:r>
        <w:rPr>
          <w:rStyle w:val="13"/>
          <w:rFonts w:hint="eastAsia" w:eastAsia="宋体" w:cstheme="minorBidi"/>
          <w:b/>
          <w:color w:val="auto"/>
          <w:kern w:val="2"/>
          <w:sz w:val="32"/>
          <w:szCs w:val="22"/>
          <w:lang w:val="en-US" w:eastAsia="zh-CN" w:bidi="ar-SA"/>
        </w:rPr>
        <w:t>五、系统演示</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1.请结合本项目需求及招标文件第九点“评审程序、评审方法和评审标准”功能演示内容要求，由供应商根据本单位具体情况决定是否进行演示，演示的供应商自行提前做好演示准备。</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2.现场演示时间及地点：以现场演示方式进行演示操作，具体时间为开标当日，具体时间开标当日另行通知。</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3.演示时间要求：每位投标人演示时间不超过30分钟（含讲解、演示）。</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4.如因供应商电脑设备等原因，而导致演示没有成功的，一切后果由供应商负责。</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5.不得使用PPT、Word、flash以及视频等非软件系统的演示方式，使用上述演示方式的不予计分。</w:t>
      </w:r>
    </w:p>
    <w:p>
      <w:pPr>
        <w:keepNext w:val="0"/>
        <w:keepLines w:val="0"/>
        <w:widowControl w:val="0"/>
        <w:suppressLineNumbers w:val="0"/>
        <w:autoSpaceDE w:val="0"/>
        <w:autoSpaceDN/>
        <w:spacing w:before="0" w:beforeAutospacing="0" w:after="0" w:afterAutospacing="0" w:line="360" w:lineRule="exact"/>
        <w:ind w:left="0" w:right="0" w:firstLine="480"/>
        <w:jc w:val="both"/>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en-US" w:eastAsia="zh-CN" w:bidi="ar"/>
        </w:rPr>
        <w:t>6.演示环境自备。</w:t>
      </w:r>
    </w:p>
    <w:p>
      <w:pPr>
        <w:ind w:firstLine="480" w:firstLineChars="200"/>
        <w:rPr>
          <w:rFonts w:hint="eastAsia"/>
          <w:color w:val="FF0000"/>
          <w:lang w:val="en-US" w:eastAsia="zh-CN"/>
        </w:rPr>
      </w:pPr>
    </w:p>
    <w:p>
      <w:pPr>
        <w:pStyle w:val="5"/>
        <w:jc w:val="center"/>
        <w:rPr>
          <w:rFonts w:hint="eastAsia" w:ascii="宋体" w:hAnsi="宋体" w:eastAsia="宋体" w:cs="Arial"/>
          <w:color w:val="FF0000"/>
          <w:sz w:val="36"/>
        </w:rPr>
      </w:pPr>
      <w:bookmarkStart w:id="22" w:name="_Toc372538162"/>
      <w:bookmarkStart w:id="23" w:name="_Toc25725124"/>
      <w:bookmarkStart w:id="24" w:name="_Toc11641055"/>
    </w:p>
    <w:p>
      <w:pPr>
        <w:rPr>
          <w:rFonts w:hint="eastAsia" w:ascii="宋体" w:hAnsi="宋体" w:eastAsia="宋体" w:cs="Arial"/>
          <w:color w:val="FF0000"/>
          <w:sz w:val="36"/>
        </w:rPr>
      </w:pPr>
    </w:p>
    <w:p>
      <w:pPr>
        <w:rPr>
          <w:rFonts w:hint="eastAsia" w:ascii="宋体" w:hAnsi="宋体" w:eastAsia="宋体" w:cs="Arial"/>
          <w:color w:val="FF0000"/>
          <w:sz w:val="36"/>
        </w:rPr>
      </w:pPr>
    </w:p>
    <w:p>
      <w:pPr>
        <w:rPr>
          <w:rFonts w:hint="eastAsia" w:ascii="宋体" w:hAnsi="宋体" w:eastAsia="宋体" w:cs="Arial"/>
          <w:color w:val="FF0000"/>
          <w:sz w:val="36"/>
        </w:rPr>
      </w:pPr>
    </w:p>
    <w:p>
      <w:pPr>
        <w:rPr>
          <w:rFonts w:hint="eastAsia" w:ascii="宋体" w:hAnsi="宋体" w:eastAsia="宋体" w:cs="Arial"/>
          <w:color w:val="FF0000"/>
          <w:sz w:val="36"/>
        </w:rPr>
      </w:pPr>
    </w:p>
    <w:p>
      <w:pPr>
        <w:pStyle w:val="5"/>
        <w:jc w:val="center"/>
        <w:rPr>
          <w:rStyle w:val="13"/>
          <w:rFonts w:hint="eastAsia" w:ascii="Arial" w:hAnsi="Arial" w:eastAsia="黑体" w:cstheme="minorBidi"/>
          <w:b/>
          <w:color w:val="auto"/>
          <w:kern w:val="2"/>
          <w:sz w:val="32"/>
          <w:szCs w:val="22"/>
          <w:lang w:val="en-US" w:eastAsia="zh-CN" w:bidi="ar-SA"/>
        </w:rPr>
      </w:pPr>
      <w:r>
        <w:rPr>
          <w:rStyle w:val="13"/>
          <w:rFonts w:hint="eastAsia" w:ascii="Arial" w:hAnsi="Arial" w:eastAsia="黑体" w:cstheme="minorBidi"/>
          <w:b/>
          <w:color w:val="auto"/>
          <w:kern w:val="2"/>
          <w:sz w:val="32"/>
          <w:szCs w:val="22"/>
          <w:lang w:val="en-US" w:eastAsia="zh-CN" w:bidi="ar-SA"/>
        </w:rPr>
        <w:t>第四篇   商务要求</w:t>
      </w:r>
      <w:bookmarkEnd w:id="22"/>
      <w:bookmarkEnd w:id="23"/>
      <w:bookmarkEnd w:id="24"/>
    </w:p>
    <w:p>
      <w:pPr>
        <w:pStyle w:val="6"/>
        <w:pageBreakBefore w:val="0"/>
        <w:kinsoku/>
        <w:wordWrap/>
        <w:overflowPunct/>
        <w:topLinePunct w:val="0"/>
        <w:autoSpaceDE/>
        <w:autoSpaceDN/>
        <w:bidi w:val="0"/>
        <w:adjustRightInd/>
        <w:spacing w:line="460" w:lineRule="exact"/>
        <w:textAlignment w:val="auto"/>
        <w:rPr>
          <w:rStyle w:val="13"/>
          <w:rFonts w:hint="eastAsia"/>
          <w:color w:val="auto"/>
        </w:rPr>
      </w:pPr>
      <w:bookmarkStart w:id="25" w:name="_Toc498442539"/>
      <w:bookmarkStart w:id="26" w:name="_Toc480882274"/>
      <w:bookmarkStart w:id="27" w:name="_Toc344475120"/>
      <w:bookmarkStart w:id="28" w:name="_Toc25725133"/>
      <w:r>
        <w:rPr>
          <w:rStyle w:val="13"/>
          <w:rFonts w:hint="eastAsia"/>
          <w:color w:val="auto"/>
          <w:lang w:val="en-US" w:eastAsia="zh-CN"/>
        </w:rPr>
        <w:t>一、</w:t>
      </w:r>
      <w:r>
        <w:rPr>
          <w:rStyle w:val="13"/>
          <w:rFonts w:hint="eastAsia"/>
          <w:color w:val="auto"/>
        </w:rPr>
        <w:t>交货时间、地点及验收方式</w:t>
      </w:r>
      <w:bookmarkEnd w:id="25"/>
      <w:bookmarkEnd w:id="26"/>
      <w:bookmarkEnd w:id="27"/>
    </w:p>
    <w:p>
      <w:pPr>
        <w:pageBreakBefore w:val="0"/>
        <w:widowControl/>
        <w:kinsoku/>
        <w:wordWrap/>
        <w:overflowPunct/>
        <w:topLinePunct w:val="0"/>
        <w:autoSpaceDE/>
        <w:autoSpaceDN/>
        <w:bidi w:val="0"/>
        <w:adjustRightInd/>
        <w:snapToGrid/>
        <w:spacing w:line="594" w:lineRule="exact"/>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FF0000"/>
          <w:sz w:val="24"/>
          <w:szCs w:val="24"/>
        </w:rPr>
        <w:t xml:space="preserve">   </w:t>
      </w:r>
      <w:bookmarkStart w:id="29" w:name="_Toc344475121"/>
      <w:bookmarkStart w:id="30" w:name="_Toc498442540"/>
      <w:bookmarkStart w:id="31" w:name="_Toc48088227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w:t>
      </w: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t>或交货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pageBreakBefore w:val="0"/>
        <w:widowControl/>
        <w:kinsoku/>
        <w:wordWrap/>
        <w:overflowPunct/>
        <w:topLinePunct w:val="0"/>
        <w:autoSpaceDE/>
        <w:autoSpaceDN/>
        <w:bidi w:val="0"/>
        <w:adjustRightInd/>
        <w:snapToGrid/>
        <w:spacing w:line="594" w:lineRule="exact"/>
        <w:ind w:firstLine="48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2026年12月31日前完成</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p>
    <w:p>
      <w:pPr>
        <w:pageBreakBefore w:val="0"/>
        <w:widowControl/>
        <w:kinsoku/>
        <w:wordWrap/>
        <w:overflowPunct/>
        <w:topLinePunct w:val="0"/>
        <w:autoSpaceDE/>
        <w:autoSpaceDN/>
        <w:bidi w:val="0"/>
        <w:adjustRightInd/>
        <w:snapToGrid/>
        <w:spacing w:line="594" w:lineRule="exact"/>
        <w:ind w:firstLine="48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（二）地点</w:t>
      </w:r>
    </w:p>
    <w:p>
      <w:pPr>
        <w:pageBreakBefore w:val="0"/>
        <w:widowControl/>
        <w:kinsoku/>
        <w:wordWrap/>
        <w:overflowPunct/>
        <w:topLinePunct w:val="0"/>
        <w:autoSpaceDE/>
        <w:autoSpaceDN/>
        <w:bidi w:val="0"/>
        <w:adjustRightInd/>
        <w:snapToGrid/>
        <w:spacing w:line="594" w:lineRule="exact"/>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交付地点为重庆中国三峡博物馆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或采购人指定地点。</w:t>
      </w:r>
    </w:p>
    <w:p>
      <w:pPr>
        <w:pageBreakBefore w:val="0"/>
        <w:widowControl/>
        <w:numPr>
          <w:ilvl w:val="0"/>
          <w:numId w:val="6"/>
        </w:numPr>
        <w:kinsoku/>
        <w:wordWrap/>
        <w:overflowPunct/>
        <w:topLinePunct w:val="0"/>
        <w:autoSpaceDE/>
        <w:autoSpaceDN/>
        <w:bidi w:val="0"/>
        <w:adjustRightInd/>
        <w:snapToGrid/>
        <w:spacing w:line="594"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验收方式</w:t>
      </w:r>
    </w:p>
    <w:p>
      <w:pPr>
        <w:pageBreakBefore w:val="0"/>
        <w:widowControl/>
        <w:numPr>
          <w:ilvl w:val="0"/>
          <w:numId w:val="0"/>
        </w:numPr>
        <w:kinsoku/>
        <w:wordWrap/>
        <w:overflowPunct/>
        <w:topLinePunct w:val="0"/>
        <w:autoSpaceDE/>
        <w:autoSpaceDN/>
        <w:bidi w:val="0"/>
        <w:adjustRightInd/>
        <w:snapToGrid/>
        <w:spacing w:line="594" w:lineRule="exact"/>
        <w:ind w:left="480" w:leftChars="0"/>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由采购方组织人员对服务成果进行验收。</w:t>
      </w:r>
    </w:p>
    <w:p>
      <w:pPr>
        <w:pageBreakBefore w:val="0"/>
        <w:widowControl/>
        <w:numPr>
          <w:ilvl w:val="0"/>
          <w:numId w:val="0"/>
        </w:numPr>
        <w:kinsoku/>
        <w:wordWrap/>
        <w:overflowPunct/>
        <w:topLinePunct w:val="0"/>
        <w:autoSpaceDE/>
        <w:autoSpaceDN/>
        <w:bidi w:val="0"/>
        <w:adjustRightInd/>
        <w:snapToGrid/>
        <w:spacing w:line="594" w:lineRule="exact"/>
        <w:jc w:val="left"/>
        <w:textAlignment w:val="auto"/>
        <w:rPr>
          <w:rStyle w:val="13"/>
          <w:rFonts w:hint="eastAsia" w:eastAsia="宋体" w:asciiTheme="minorHAnsi" w:hAnsiTheme="minorHAnsi" w:cstheme="minorBidi"/>
          <w:b/>
          <w:color w:val="auto"/>
          <w:kern w:val="2"/>
          <w:sz w:val="32"/>
          <w:szCs w:val="22"/>
          <w:lang w:val="en-US" w:eastAsia="zh-CN" w:bidi="ar-SA"/>
        </w:rPr>
      </w:pPr>
      <w:r>
        <w:rPr>
          <w:rStyle w:val="13"/>
          <w:rFonts w:hint="eastAsia" w:eastAsia="宋体" w:asciiTheme="minorHAnsi" w:hAnsiTheme="minorHAnsi" w:cstheme="minorBidi"/>
          <w:b/>
          <w:color w:val="auto"/>
          <w:kern w:val="2"/>
          <w:sz w:val="32"/>
          <w:szCs w:val="22"/>
          <w:lang w:val="en-US" w:eastAsia="zh-CN" w:bidi="ar-SA"/>
        </w:rPr>
        <w:t>二、质量保证</w:t>
      </w:r>
    </w:p>
    <w:p>
      <w:pPr>
        <w:pageBreakBefore w:val="0"/>
        <w:widowControl/>
        <w:numPr>
          <w:ilvl w:val="0"/>
          <w:numId w:val="0"/>
        </w:numPr>
        <w:kinsoku/>
        <w:wordWrap/>
        <w:overflowPunct/>
        <w:topLinePunct w:val="0"/>
        <w:autoSpaceDE/>
        <w:autoSpaceDN/>
        <w:bidi w:val="0"/>
        <w:adjustRightInd/>
        <w:snapToGrid/>
        <w:spacing w:line="594" w:lineRule="exact"/>
        <w:ind w:firstLine="480"/>
        <w:jc w:val="left"/>
        <w:textAlignment w:val="auto"/>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承诺</w:t>
      </w:r>
      <w:r>
        <w:rPr>
          <w:rFonts w:hint="eastAsia" w:asciiTheme="minorEastAsia" w:hAnsiTheme="minorEastAsia" w:eastAsiaTheme="minorEastAsia" w:cstheme="minorEastAsia"/>
          <w:color w:val="auto"/>
          <w:sz w:val="24"/>
          <w:szCs w:val="24"/>
          <w:highlight w:val="none"/>
          <w:lang w:val="en-US" w:eastAsia="zh-CN"/>
        </w:rPr>
        <w:t>按照采购人的要求保质保量完成服务工作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w:t>
      </w:r>
    </w:p>
    <w:p>
      <w:pPr>
        <w:pageBreakBefore w:val="0"/>
        <w:widowControl/>
        <w:kinsoku/>
        <w:wordWrap/>
        <w:overflowPunct/>
        <w:topLinePunct w:val="0"/>
        <w:autoSpaceDE/>
        <w:autoSpaceDN/>
        <w:bidi w:val="0"/>
        <w:adjustRightInd/>
        <w:snapToGrid/>
        <w:spacing w:line="594" w:lineRule="exact"/>
        <w:jc w:val="left"/>
        <w:textAlignment w:val="auto"/>
        <w:rPr>
          <w:rStyle w:val="13"/>
          <w:rFonts w:hint="eastAsia" w:eastAsia="宋体" w:asciiTheme="minorHAnsi" w:hAnsiTheme="minorHAnsi" w:cstheme="minorBidi"/>
          <w:b/>
          <w:color w:val="auto"/>
          <w:kern w:val="2"/>
          <w:sz w:val="32"/>
          <w:szCs w:val="22"/>
          <w:lang w:val="en-US" w:eastAsia="zh-CN" w:bidi="ar-SA"/>
        </w:rPr>
      </w:pPr>
      <w:r>
        <w:rPr>
          <w:rStyle w:val="13"/>
          <w:rFonts w:hint="eastAsia" w:eastAsia="宋体" w:asciiTheme="minorHAnsi" w:hAnsiTheme="minorHAnsi" w:cstheme="minorBidi"/>
          <w:b/>
          <w:color w:val="auto"/>
          <w:kern w:val="2"/>
          <w:sz w:val="32"/>
          <w:szCs w:val="22"/>
          <w:lang w:val="en-US" w:eastAsia="zh-CN" w:bidi="ar-SA"/>
        </w:rPr>
        <w:t>三、服务要求</w:t>
      </w:r>
    </w:p>
    <w:p>
      <w:pPr>
        <w:pageBreakBefore w:val="0"/>
        <w:widowControl/>
        <w:kinsoku/>
        <w:wordWrap/>
        <w:overflowPunct/>
        <w:topLinePunct w:val="0"/>
        <w:autoSpaceDE/>
        <w:autoSpaceDN/>
        <w:bidi w:val="0"/>
        <w:adjustRightInd/>
        <w:snapToGrid/>
        <w:spacing w:line="594" w:lineRule="exact"/>
        <w:ind w:left="0" w:leftChars="0" w:firstLine="540" w:firstLineChars="225"/>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中标单位应按照采购要求提供优质的服务。</w:t>
      </w:r>
    </w:p>
    <w:p>
      <w:pPr>
        <w:pageBreakBefore w:val="0"/>
        <w:widowControl/>
        <w:kinsoku/>
        <w:wordWrap/>
        <w:overflowPunct/>
        <w:topLinePunct w:val="0"/>
        <w:autoSpaceDE/>
        <w:autoSpaceDN/>
        <w:bidi w:val="0"/>
        <w:adjustRightInd/>
        <w:snapToGrid/>
        <w:spacing w:line="594" w:lineRule="exact"/>
        <w:jc w:val="left"/>
        <w:textAlignment w:val="auto"/>
        <w:rPr>
          <w:rStyle w:val="13"/>
          <w:rFonts w:hint="eastAsia" w:eastAsia="宋体" w:asciiTheme="minorHAnsi" w:hAnsiTheme="minorHAnsi" w:cstheme="minorBidi"/>
          <w:b/>
          <w:color w:val="auto"/>
          <w:kern w:val="2"/>
          <w:sz w:val="32"/>
          <w:szCs w:val="22"/>
          <w:lang w:val="en-US" w:eastAsia="zh-CN" w:bidi="ar-SA"/>
        </w:rPr>
      </w:pPr>
      <w:r>
        <w:rPr>
          <w:rStyle w:val="13"/>
          <w:rFonts w:hint="eastAsia" w:eastAsia="宋体" w:asciiTheme="minorHAnsi" w:hAnsiTheme="minorHAnsi" w:cstheme="minorBidi"/>
          <w:b/>
          <w:color w:val="auto"/>
          <w:kern w:val="2"/>
          <w:sz w:val="32"/>
          <w:szCs w:val="22"/>
          <w:lang w:val="en-US" w:eastAsia="zh-CN" w:bidi="ar-SA"/>
        </w:rPr>
        <w:t>四、保密要求</w:t>
      </w:r>
    </w:p>
    <w:p>
      <w:pPr>
        <w:pageBreakBefore w:val="0"/>
        <w:widowControl/>
        <w:kinsoku/>
        <w:wordWrap/>
        <w:overflowPunct/>
        <w:topLinePunct w:val="0"/>
        <w:autoSpaceDE/>
        <w:autoSpaceDN/>
        <w:bidi w:val="0"/>
        <w:adjustRightInd/>
        <w:snapToGrid/>
        <w:spacing w:line="594" w:lineRule="exact"/>
        <w:ind w:left="0" w:leftChars="0" w:firstLine="540" w:firstLineChars="225"/>
        <w:jc w:val="left"/>
        <w:textAlignment w:val="auto"/>
        <w:rPr>
          <w:rFonts w:hint="eastAsia"/>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成交供应商在本项目执行过程中应对所获悉的所有项目内容按照国家相关规定和采购人要求进行严格保密；未经采购人允许不得随意公布、不得转交给第三方。若有违反，采购人将有权追究其相关法律责任。</w:t>
      </w:r>
    </w:p>
    <w:p>
      <w:pPr>
        <w:pageBreakBefore w:val="0"/>
        <w:widowControl/>
        <w:kinsoku/>
        <w:wordWrap/>
        <w:overflowPunct/>
        <w:topLinePunct w:val="0"/>
        <w:autoSpaceDE/>
        <w:autoSpaceDN/>
        <w:bidi w:val="0"/>
        <w:adjustRightInd/>
        <w:snapToGrid/>
        <w:spacing w:line="594" w:lineRule="exact"/>
        <w:jc w:val="left"/>
        <w:textAlignment w:val="auto"/>
        <w:rPr>
          <w:rStyle w:val="13"/>
          <w:rFonts w:hint="eastAsia" w:eastAsia="宋体" w:asciiTheme="minorHAnsi" w:hAnsiTheme="minorHAnsi" w:cstheme="minorBidi"/>
          <w:b/>
          <w:color w:val="auto"/>
          <w:kern w:val="2"/>
          <w:sz w:val="32"/>
          <w:szCs w:val="22"/>
          <w:lang w:val="en-US" w:eastAsia="zh-CN" w:bidi="ar-SA"/>
        </w:rPr>
      </w:pPr>
      <w:r>
        <w:rPr>
          <w:rStyle w:val="13"/>
          <w:rFonts w:hint="eastAsia" w:eastAsia="宋体" w:cstheme="minorBidi"/>
          <w:b/>
          <w:color w:val="auto"/>
          <w:kern w:val="2"/>
          <w:sz w:val="32"/>
          <w:szCs w:val="22"/>
          <w:lang w:val="en-US" w:eastAsia="zh-CN" w:bidi="ar-SA"/>
        </w:rPr>
        <w:t>五、</w:t>
      </w:r>
      <w:r>
        <w:rPr>
          <w:rStyle w:val="13"/>
          <w:rFonts w:hint="eastAsia" w:eastAsia="宋体" w:asciiTheme="minorHAnsi" w:hAnsiTheme="minorHAnsi" w:cstheme="minorBidi"/>
          <w:b/>
          <w:color w:val="auto"/>
          <w:kern w:val="2"/>
          <w:sz w:val="32"/>
          <w:szCs w:val="22"/>
          <w:lang w:val="en-US" w:eastAsia="zh-CN" w:bidi="ar-SA"/>
        </w:rPr>
        <w:t>付款方式</w:t>
      </w:r>
    </w:p>
    <w:p>
      <w:pPr>
        <w:pStyle w:val="2"/>
        <w:pageBreakBefore w:val="0"/>
        <w:numPr>
          <w:ilvl w:val="0"/>
          <w:numId w:val="0"/>
        </w:numPr>
        <w:kinsoku/>
        <w:wordWrap/>
        <w:overflowPunct/>
        <w:topLinePunct w:val="0"/>
        <w:autoSpaceDE/>
        <w:autoSpaceDN/>
        <w:bidi w:val="0"/>
        <w:adjustRightInd/>
        <w:snapToGrid/>
        <w:spacing w:line="594"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以合同签订为准</w:t>
      </w:r>
    </w:p>
    <w:p>
      <w:pPr>
        <w:pageBreakBefore w:val="0"/>
        <w:widowControl/>
        <w:kinsoku/>
        <w:wordWrap/>
        <w:overflowPunct/>
        <w:topLinePunct w:val="0"/>
        <w:autoSpaceDE/>
        <w:autoSpaceDN/>
        <w:bidi w:val="0"/>
        <w:adjustRightInd/>
        <w:snapToGrid/>
        <w:spacing w:line="594" w:lineRule="exact"/>
        <w:jc w:val="left"/>
        <w:textAlignment w:val="auto"/>
        <w:rPr>
          <w:rStyle w:val="13"/>
          <w:rFonts w:hint="eastAsia" w:eastAsia="宋体" w:cstheme="minorBidi"/>
          <w:b/>
          <w:color w:val="auto"/>
          <w:kern w:val="2"/>
          <w:sz w:val="32"/>
          <w:szCs w:val="22"/>
          <w:lang w:val="en-US" w:eastAsia="zh-CN" w:bidi="ar-SA"/>
        </w:rPr>
      </w:pPr>
      <w:r>
        <w:rPr>
          <w:rStyle w:val="13"/>
          <w:rFonts w:hint="eastAsia" w:eastAsia="宋体" w:cstheme="minorBidi"/>
          <w:b/>
          <w:color w:val="auto"/>
          <w:kern w:val="2"/>
          <w:sz w:val="32"/>
          <w:szCs w:val="22"/>
          <w:lang w:val="en-US" w:eastAsia="zh-CN" w:bidi="ar-SA"/>
        </w:rPr>
        <w:t>六、付款单位</w:t>
      </w:r>
    </w:p>
    <w:p>
      <w:pPr>
        <w:pageBreakBefore w:val="0"/>
        <w:widowControl/>
        <w:numPr>
          <w:ilvl w:val="0"/>
          <w:numId w:val="0"/>
        </w:numPr>
        <w:kinsoku/>
        <w:wordWrap/>
        <w:overflowPunct/>
        <w:topLinePunct w:val="0"/>
        <w:autoSpaceDE/>
        <w:autoSpaceDN/>
        <w:bidi w:val="0"/>
        <w:adjustRightInd/>
        <w:snapToGrid/>
        <w:spacing w:line="594" w:lineRule="exact"/>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重庆中国三峡博物馆。</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FF0000"/>
          <w:sz w:val="24"/>
          <w:szCs w:val="24"/>
        </w:rPr>
      </w:pPr>
    </w:p>
    <w:bookmarkEnd w:id="28"/>
    <w:bookmarkEnd w:id="29"/>
    <w:bookmarkEnd w:id="30"/>
    <w:bookmarkEnd w:id="31"/>
    <w:p>
      <w:pPr>
        <w:pStyle w:val="5"/>
        <w:jc w:val="center"/>
        <w:rPr>
          <w:rStyle w:val="13"/>
          <w:rFonts w:hint="eastAsia" w:ascii="Arial" w:hAnsi="Arial" w:eastAsia="黑体" w:cstheme="minorBidi"/>
          <w:b/>
          <w:kern w:val="2"/>
          <w:sz w:val="32"/>
          <w:szCs w:val="22"/>
          <w:lang w:val="en-US" w:eastAsia="zh-CN" w:bidi="ar-SA"/>
        </w:rPr>
      </w:pPr>
      <w:bookmarkStart w:id="32" w:name="_Toc372538173"/>
      <w:bookmarkStart w:id="33" w:name="_Toc25725135"/>
      <w:r>
        <w:rPr>
          <w:rStyle w:val="13"/>
          <w:rFonts w:hint="eastAsia" w:ascii="Arial" w:hAnsi="Arial" w:eastAsia="黑体" w:cstheme="minorBidi"/>
          <w:b/>
          <w:kern w:val="2"/>
          <w:sz w:val="32"/>
          <w:szCs w:val="22"/>
          <w:lang w:val="en-US" w:eastAsia="zh-CN" w:bidi="ar-SA"/>
        </w:rPr>
        <w:t>第五篇  合同关键条款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960" w:firstLineChars="400"/>
        <w:jc w:val="left"/>
        <w:textAlignment w:val="auto"/>
        <w:outlineLvl w:val="9"/>
        <w:rPr>
          <w:rFonts w:hint="eastAsia" w:ascii="宋体" w:hAnsi="宋体" w:cs="Arial"/>
          <w:sz w:val="24"/>
          <w:szCs w:val="24"/>
          <w:lang w:val="en-US" w:eastAsia="zh-CN"/>
        </w:rPr>
      </w:pPr>
      <w:r>
        <w:rPr>
          <w:rFonts w:hint="eastAsia" w:ascii="宋体" w:hAnsi="宋体" w:cs="Arial"/>
          <w:sz w:val="24"/>
          <w:szCs w:val="24"/>
          <w:lang w:val="en-US" w:eastAsia="zh-CN"/>
        </w:rPr>
        <w:t>其他未尽事宜由供需双方在采购合同中详细约定。</w:t>
      </w:r>
    </w:p>
    <w:p>
      <w:pPr>
        <w:pStyle w:val="5"/>
        <w:jc w:val="center"/>
        <w:rPr>
          <w:rFonts w:hint="eastAsia" w:ascii="宋体" w:hAnsi="宋体" w:eastAsia="宋体" w:cs="Arial"/>
          <w:sz w:val="28"/>
          <w:szCs w:val="28"/>
        </w:rPr>
      </w:pPr>
    </w:p>
    <w:p>
      <w:pPr>
        <w:pStyle w:val="5"/>
        <w:jc w:val="both"/>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pStyle w:val="5"/>
        <w:jc w:val="center"/>
        <w:rPr>
          <w:rStyle w:val="13"/>
          <w:rFonts w:hint="eastAsia" w:ascii="Arial" w:hAnsi="Arial" w:eastAsia="黑体" w:cstheme="minorBidi"/>
          <w:b/>
          <w:kern w:val="2"/>
          <w:sz w:val="32"/>
          <w:szCs w:val="22"/>
          <w:lang w:val="en-US" w:eastAsia="zh-CN" w:bidi="ar-SA"/>
        </w:rPr>
      </w:pPr>
      <w:r>
        <w:rPr>
          <w:rStyle w:val="13"/>
          <w:rFonts w:hint="eastAsia" w:ascii="Arial" w:hAnsi="Arial" w:eastAsia="黑体" w:cstheme="minorBidi"/>
          <w:b/>
          <w:kern w:val="2"/>
          <w:sz w:val="32"/>
          <w:szCs w:val="22"/>
          <w:lang w:val="en-US" w:eastAsia="zh-CN" w:bidi="ar-SA"/>
        </w:rPr>
        <w:t xml:space="preserve">第六篇   </w:t>
      </w:r>
      <w:bookmarkEnd w:id="32"/>
      <w:bookmarkEnd w:id="33"/>
      <w:r>
        <w:rPr>
          <w:rStyle w:val="13"/>
          <w:rFonts w:hint="eastAsia" w:ascii="Arial" w:hAnsi="Arial" w:eastAsia="黑体" w:cstheme="minorBidi"/>
          <w:b/>
          <w:kern w:val="2"/>
          <w:sz w:val="32"/>
          <w:szCs w:val="22"/>
          <w:lang w:val="en-US" w:eastAsia="zh-CN" w:bidi="ar-SA"/>
        </w:rPr>
        <w:t>供应商编制响应文件要求</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ascii="宋体" w:hAnsi="宋体" w:cs="Arial"/>
          <w:color w:val="auto"/>
          <w:sz w:val="24"/>
          <w:szCs w:val="24"/>
        </w:rPr>
        <w:t>一、</w:t>
      </w:r>
      <w:r>
        <w:rPr>
          <w:rFonts w:hint="eastAsia" w:ascii="宋体" w:hAnsi="宋体" w:cs="Arial"/>
          <w:b/>
          <w:bCs/>
          <w:color w:val="auto"/>
          <w:sz w:val="24"/>
          <w:szCs w:val="24"/>
        </w:rPr>
        <w:t>资格文件</w:t>
      </w:r>
    </w:p>
    <w:p>
      <w:pPr>
        <w:numPr>
          <w:ilvl w:val="0"/>
          <w:numId w:val="7"/>
        </w:numPr>
        <w:spacing w:line="360" w:lineRule="auto"/>
        <w:ind w:left="164" w:leftChars="78" w:firstLine="194" w:firstLineChars="8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营业执照或者法人证书复印件（加盖供应商鲜章）</w:t>
      </w:r>
    </w:p>
    <w:p>
      <w:pPr>
        <w:numPr>
          <w:ilvl w:val="0"/>
          <w:numId w:val="7"/>
        </w:numPr>
        <w:spacing w:line="360" w:lineRule="auto"/>
        <w:ind w:left="357" w:leftChars="170" w:firstLine="0" w:firstLineChars="0"/>
        <w:rPr>
          <w:rFonts w:ascii="宋体" w:hAnsi="宋体" w:cs="Arial"/>
          <w:color w:val="auto"/>
          <w:sz w:val="24"/>
          <w:szCs w:val="24"/>
        </w:rPr>
      </w:pPr>
      <w:r>
        <w:rPr>
          <w:rFonts w:hint="eastAsia" w:asciiTheme="minorEastAsia" w:hAnsiTheme="minorEastAsia" w:eastAsiaTheme="minorEastAsia" w:cstheme="minorEastAsia"/>
          <w:color w:val="auto"/>
          <w:sz w:val="24"/>
          <w:szCs w:val="24"/>
          <w:highlight w:val="none"/>
        </w:rPr>
        <w:t>法定代表人身份证明</w:t>
      </w:r>
      <w:r>
        <w:rPr>
          <w:rFonts w:hint="eastAsia" w:asciiTheme="minorEastAsia" w:hAnsiTheme="minorEastAsia" w:eastAsiaTheme="minorEastAsia" w:cstheme="minorEastAsia"/>
          <w:color w:val="auto"/>
          <w:sz w:val="24"/>
          <w:szCs w:val="24"/>
          <w:highlight w:val="none"/>
          <w:lang w:eastAsia="zh-CN"/>
        </w:rPr>
        <w:t>书（格式）或者法定代表人授权委托书（格式</w:t>
      </w:r>
      <w:r>
        <w:rPr>
          <w:rFonts w:hint="eastAsia" w:asciiTheme="minorEastAsia" w:hAnsiTheme="minorEastAsia" w:cstheme="minorEastAsia"/>
          <w:color w:val="auto"/>
          <w:sz w:val="24"/>
          <w:szCs w:val="24"/>
          <w:highlight w:val="none"/>
          <w:lang w:val="en-US" w:eastAsia="zh-CN"/>
        </w:rPr>
        <w:t>)</w:t>
      </w:r>
    </w:p>
    <w:p>
      <w:pPr>
        <w:numPr>
          <w:ilvl w:val="0"/>
          <w:numId w:val="7"/>
        </w:numPr>
        <w:spacing w:line="360" w:lineRule="auto"/>
        <w:ind w:left="357" w:leftChars="170" w:firstLine="0" w:firstLineChars="0"/>
        <w:rPr>
          <w:rFonts w:ascii="宋体" w:hAnsi="宋体" w:cs="Arial"/>
          <w:color w:val="auto"/>
          <w:sz w:val="24"/>
          <w:szCs w:val="24"/>
        </w:rPr>
      </w:pPr>
      <w:r>
        <w:rPr>
          <w:rFonts w:hint="eastAsia" w:asciiTheme="minorEastAsia" w:hAnsiTheme="minorEastAsia" w:eastAsiaTheme="minorEastAsia" w:cstheme="minorEastAsia"/>
          <w:color w:val="auto"/>
          <w:sz w:val="24"/>
          <w:szCs w:val="24"/>
          <w:highlight w:val="none"/>
          <w:lang w:eastAsia="zh-CN"/>
        </w:rPr>
        <w:t>诚信声明书（格式）</w:t>
      </w:r>
    </w:p>
    <w:p>
      <w:pPr>
        <w:pStyle w:val="17"/>
        <w:rPr>
          <w:color w:val="auto"/>
          <w:lang w:val="en-US"/>
        </w:rPr>
      </w:pPr>
      <w:r>
        <w:rPr>
          <w:rFonts w:hint="eastAsia" w:asciiTheme="minorEastAsia" w:hAnsiTheme="minorEastAsia" w:cstheme="minorEastAsia"/>
          <w:color w:val="auto"/>
          <w:sz w:val="24"/>
          <w:szCs w:val="24"/>
          <w:highlight w:val="none"/>
          <w:lang w:val="en-US" w:eastAsia="zh-CN"/>
        </w:rPr>
        <w:t xml:space="preserve">   （四）中小企业声明函（格式）</w:t>
      </w:r>
    </w:p>
    <w:p>
      <w:pPr>
        <w:keepNext w:val="0"/>
        <w:keepLines w:val="0"/>
        <w:pageBreakBefore w:val="0"/>
        <w:widowControl w:val="0"/>
        <w:numPr>
          <w:ilvl w:val="0"/>
          <w:numId w:val="8"/>
        </w:numPr>
        <w:kinsoku/>
        <w:wordWrap/>
        <w:overflowPunct/>
        <w:topLinePunct w:val="0"/>
        <w:autoSpaceDE/>
        <w:autoSpaceDN/>
        <w:bidi w:val="0"/>
        <w:adjustRightInd/>
        <w:spacing w:line="460" w:lineRule="exact"/>
        <w:textAlignment w:val="auto"/>
        <w:outlineLvl w:val="9"/>
        <w:rPr>
          <w:rFonts w:ascii="Times New Roman" w:hAnsi="Times New Roman" w:eastAsia="宋体"/>
          <w:b/>
          <w:bCs/>
          <w:color w:val="auto"/>
          <w:sz w:val="24"/>
          <w:szCs w:val="24"/>
        </w:rPr>
      </w:pPr>
      <w:r>
        <w:rPr>
          <w:rFonts w:hint="eastAsia" w:ascii="宋体" w:hAnsi="宋体" w:cs="Arial"/>
          <w:b/>
          <w:bCs/>
          <w:color w:val="auto"/>
          <w:sz w:val="24"/>
          <w:szCs w:val="24"/>
        </w:rPr>
        <w:t>技术文件</w:t>
      </w:r>
    </w:p>
    <w:p>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asciiTheme="minorEastAsia" w:hAnsiTheme="minorEastAsia" w:cstheme="minorEastAsia"/>
          <w:color w:val="auto"/>
          <w:sz w:val="24"/>
          <w:szCs w:val="24"/>
        </w:rPr>
      </w:pPr>
      <w:r>
        <w:rPr>
          <w:rFonts w:hint="eastAsia" w:asciiTheme="minorEastAsia" w:hAnsiTheme="minorEastAsia" w:cstheme="minorEastAsia"/>
          <w:bCs/>
          <w:color w:val="auto"/>
          <w:sz w:val="24"/>
          <w:szCs w:val="24"/>
        </w:rPr>
        <w:t xml:space="preserve">    </w:t>
      </w:r>
      <w:r>
        <w:rPr>
          <w:rFonts w:hint="eastAsia" w:asciiTheme="minorEastAsia" w:hAnsiTheme="minorEastAsia" w:eastAsiaTheme="minorEastAsia" w:cstheme="minorEastAsia"/>
          <w:color w:val="auto"/>
          <w:sz w:val="24"/>
          <w:szCs w:val="24"/>
          <w:highlight w:val="none"/>
          <w:lang w:val="en-US" w:eastAsia="zh-CN"/>
        </w:rPr>
        <w:t>（一）实施方案（格式、内容自拟，每页加盖</w:t>
      </w:r>
      <w:r>
        <w:rPr>
          <w:rFonts w:hint="eastAsia" w:asciiTheme="minorEastAsia" w:hAnsiTheme="minorEastAsia" w:eastAsiaTheme="minorEastAsia" w:cstheme="minorEastAsia"/>
          <w:color w:val="auto"/>
          <w:sz w:val="24"/>
          <w:szCs w:val="24"/>
          <w:highlight w:val="none"/>
          <w:lang w:eastAsia="zh-CN"/>
        </w:rPr>
        <w:t>供应商鲜章</w:t>
      </w:r>
      <w:r>
        <w:rPr>
          <w:rFonts w:hint="eastAsia" w:asciiTheme="minorEastAsia" w:hAnsiTheme="minorEastAsia" w:eastAsiaTheme="minorEastAsia" w:cstheme="minorEastAsia"/>
          <w:color w:val="auto"/>
          <w:sz w:val="24"/>
          <w:szCs w:val="24"/>
          <w:highlight w:val="none"/>
          <w:lang w:val="en-US" w:eastAsia="zh-CN"/>
        </w:rPr>
        <w:t>）</w:t>
      </w:r>
    </w:p>
    <w:p>
      <w:pPr>
        <w:keepNext w:val="0"/>
        <w:keepLines w:val="0"/>
        <w:pageBreakBefore w:val="0"/>
        <w:widowControl w:val="0"/>
        <w:numPr>
          <w:ilvl w:val="0"/>
          <w:numId w:val="8"/>
        </w:numPr>
        <w:kinsoku/>
        <w:wordWrap/>
        <w:overflowPunct/>
        <w:topLinePunct w:val="0"/>
        <w:autoSpaceDE/>
        <w:autoSpaceDN/>
        <w:bidi w:val="0"/>
        <w:adjustRightInd/>
        <w:spacing w:line="460" w:lineRule="exact"/>
        <w:textAlignment w:val="auto"/>
        <w:outlineLvl w:val="9"/>
        <w:rPr>
          <w:rFonts w:ascii="宋体" w:hAnsi="宋体" w:cs="Arial"/>
          <w:b/>
          <w:bCs/>
          <w:color w:val="auto"/>
          <w:sz w:val="24"/>
          <w:szCs w:val="24"/>
        </w:rPr>
      </w:pPr>
      <w:r>
        <w:rPr>
          <w:rFonts w:hint="eastAsia" w:ascii="宋体" w:hAnsi="宋体" w:cs="Arial"/>
          <w:b/>
          <w:bCs/>
          <w:color w:val="auto"/>
          <w:sz w:val="24"/>
          <w:szCs w:val="24"/>
        </w:rPr>
        <w:t>经济文件</w:t>
      </w:r>
    </w:p>
    <w:p>
      <w:pPr>
        <w:numPr>
          <w:ilvl w:val="0"/>
          <w:numId w:val="0"/>
        </w:numPr>
        <w:spacing w:line="360" w:lineRule="auto"/>
        <w:ind w:left="357" w:leftChars="17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（一）报价函（格式）</w:t>
      </w:r>
    </w:p>
    <w:p>
      <w:pPr>
        <w:numPr>
          <w:ilvl w:val="0"/>
          <w:numId w:val="0"/>
        </w:numPr>
        <w:spacing w:line="360" w:lineRule="auto"/>
        <w:ind w:left="357" w:leftChars="170" w:firstLine="0" w:firstLineChars="0"/>
        <w:rPr>
          <w:color w:val="auto"/>
          <w:sz w:val="24"/>
          <w:szCs w:val="24"/>
        </w:rPr>
      </w:pPr>
      <w:r>
        <w:rPr>
          <w:rFonts w:hint="eastAsia" w:asciiTheme="minorEastAsia" w:hAnsiTheme="minorEastAsia" w:eastAsiaTheme="minorEastAsia" w:cstheme="minorEastAsia"/>
          <w:color w:val="auto"/>
          <w:sz w:val="24"/>
          <w:szCs w:val="24"/>
          <w:highlight w:val="none"/>
          <w:lang w:val="en-US" w:eastAsia="zh-CN"/>
        </w:rPr>
        <w:t>（二）明细报价表（格式）</w:t>
      </w:r>
    </w:p>
    <w:p>
      <w:pPr>
        <w:keepNext w:val="0"/>
        <w:keepLines w:val="0"/>
        <w:pageBreakBefore w:val="0"/>
        <w:widowControl w:val="0"/>
        <w:numPr>
          <w:ilvl w:val="0"/>
          <w:numId w:val="8"/>
        </w:numPr>
        <w:kinsoku/>
        <w:wordWrap/>
        <w:overflowPunct/>
        <w:topLinePunct w:val="0"/>
        <w:autoSpaceDE/>
        <w:autoSpaceDN/>
        <w:bidi w:val="0"/>
        <w:adjustRightInd/>
        <w:spacing w:line="460" w:lineRule="exact"/>
        <w:textAlignment w:val="auto"/>
        <w:outlineLvl w:val="9"/>
        <w:rPr>
          <w:b/>
          <w:bCs/>
          <w:color w:val="auto"/>
          <w:sz w:val="24"/>
          <w:szCs w:val="24"/>
        </w:rPr>
      </w:pPr>
      <w:r>
        <w:rPr>
          <w:rFonts w:hint="eastAsia"/>
          <w:b/>
          <w:bCs/>
          <w:color w:val="auto"/>
          <w:sz w:val="24"/>
          <w:szCs w:val="24"/>
        </w:rPr>
        <w:t>其他文件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color w:val="auto"/>
          <w:sz w:val="24"/>
          <w:szCs w:val="24"/>
        </w:rPr>
        <w:t xml:space="preserve">    投标单位提供与评分有关的内容或者投标单位认为需要提供的其他文件（</w:t>
      </w:r>
      <w:r>
        <w:rPr>
          <w:rFonts w:hint="eastAsia" w:asciiTheme="minorEastAsia" w:hAnsiTheme="minorEastAsia"/>
          <w:color w:val="auto"/>
          <w:kern w:val="0"/>
          <w:sz w:val="24"/>
          <w:szCs w:val="24"/>
        </w:rPr>
        <w:t>每页加盖投标单位鲜章或骑缝章</w:t>
      </w:r>
      <w:r>
        <w:rPr>
          <w:rFonts w:hint="eastAsia"/>
          <w:color w:val="auto"/>
          <w:sz w:val="24"/>
          <w:szCs w:val="24"/>
        </w:rPr>
        <w:t>）</w:t>
      </w:r>
    </w:p>
    <w:p>
      <w:pPr>
        <w:spacing w:line="460" w:lineRule="exact"/>
        <w:rPr>
          <w:rFonts w:ascii="宋体" w:hAnsi="宋体" w:cs="Arial"/>
          <w:color w:val="auto"/>
          <w:sz w:val="24"/>
          <w:szCs w:val="24"/>
        </w:rPr>
      </w:pPr>
    </w:p>
    <w:p>
      <w:pPr>
        <w:spacing w:line="460" w:lineRule="exact"/>
        <w:rPr>
          <w:rFonts w:ascii="宋体" w:hAnsi="宋体" w:cs="Arial"/>
          <w:sz w:val="24"/>
          <w:szCs w:val="24"/>
        </w:rPr>
      </w:pPr>
    </w:p>
    <w:p>
      <w:pPr>
        <w:spacing w:line="460" w:lineRule="exact"/>
        <w:rPr>
          <w:rFonts w:hint="eastAsia" w:ascii="宋体" w:hAnsi="宋体" w:cs="Arial"/>
          <w:sz w:val="24"/>
          <w:szCs w:val="24"/>
        </w:rPr>
      </w:pPr>
    </w:p>
    <w:p>
      <w:pPr>
        <w:spacing w:line="460" w:lineRule="exact"/>
        <w:rPr>
          <w:rFonts w:hint="eastAsia" w:ascii="宋体" w:hAnsi="宋体" w:cs="Arial"/>
          <w:sz w:val="24"/>
          <w:szCs w:val="24"/>
        </w:rPr>
      </w:pPr>
    </w:p>
    <w:p>
      <w:pPr>
        <w:spacing w:line="460" w:lineRule="exact"/>
        <w:rPr>
          <w:rFonts w:hint="eastAsia" w:ascii="宋体" w:hAnsi="宋体" w:cs="Arial"/>
          <w:sz w:val="24"/>
          <w:szCs w:val="24"/>
        </w:rPr>
      </w:pPr>
    </w:p>
    <w:p>
      <w:pPr>
        <w:spacing w:line="460" w:lineRule="exact"/>
        <w:rPr>
          <w:rFonts w:hint="eastAsia" w:ascii="宋体" w:hAnsi="宋体" w:cs="Arial"/>
          <w:sz w:val="24"/>
          <w:szCs w:val="24"/>
        </w:rPr>
      </w:pPr>
    </w:p>
    <w:p>
      <w:pPr>
        <w:spacing w:line="460" w:lineRule="exact"/>
        <w:rPr>
          <w:rFonts w:hint="eastAsia" w:ascii="宋体" w:hAnsi="宋体" w:cs="Arial"/>
          <w:sz w:val="24"/>
          <w:szCs w:val="24"/>
        </w:rPr>
      </w:pPr>
    </w:p>
    <w:p>
      <w:pPr>
        <w:spacing w:line="460" w:lineRule="exact"/>
        <w:rPr>
          <w:rFonts w:hint="eastAsia" w:ascii="宋体" w:hAnsi="宋体" w:cs="Arial"/>
          <w:sz w:val="24"/>
          <w:szCs w:val="24"/>
        </w:rPr>
      </w:pPr>
    </w:p>
    <w:p>
      <w:pPr>
        <w:spacing w:line="460" w:lineRule="exact"/>
        <w:rPr>
          <w:rFonts w:hint="eastAsia" w:ascii="宋体" w:hAnsi="宋体" w:cs="Arial"/>
          <w:sz w:val="24"/>
          <w:szCs w:val="24"/>
        </w:rPr>
      </w:pPr>
    </w:p>
    <w:p>
      <w:pPr>
        <w:spacing w:line="460" w:lineRule="exact"/>
        <w:rPr>
          <w:rFonts w:hint="eastAsia" w:ascii="宋体" w:hAnsi="宋体" w:cs="Arial"/>
          <w:sz w:val="24"/>
          <w:szCs w:val="24"/>
        </w:rPr>
      </w:pPr>
    </w:p>
    <w:p>
      <w:pPr>
        <w:spacing w:line="460" w:lineRule="exact"/>
        <w:rPr>
          <w:rFonts w:hint="eastAsia" w:ascii="宋体" w:hAnsi="宋体" w:cs="Arial"/>
          <w:sz w:val="24"/>
          <w:szCs w:val="24"/>
        </w:rPr>
      </w:pPr>
    </w:p>
    <w:p>
      <w:pPr>
        <w:spacing w:line="460" w:lineRule="exact"/>
        <w:rPr>
          <w:rFonts w:ascii="宋体" w:hAnsi="宋体" w:eastAsia="宋体" w:cs="Arial"/>
          <w:sz w:val="24"/>
          <w:szCs w:val="24"/>
        </w:rPr>
      </w:pPr>
      <w:r>
        <w:rPr>
          <w:rFonts w:hint="eastAsia" w:ascii="宋体" w:hAnsi="宋体" w:cs="Arial"/>
          <w:sz w:val="24"/>
          <w:szCs w:val="24"/>
        </w:rPr>
        <w:t>以下为投标响应文件</w:t>
      </w:r>
    </w:p>
    <w:p>
      <w:pPr>
        <w:pStyle w:val="6"/>
        <w:pageBreakBefore w:val="0"/>
        <w:numPr>
          <w:ilvl w:val="0"/>
          <w:numId w:val="9"/>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kern w:val="0"/>
          <w:sz w:val="24"/>
          <w:szCs w:val="24"/>
        </w:rPr>
      </w:pPr>
      <w:bookmarkStart w:id="34" w:name="_Toc372538174"/>
      <w:r>
        <w:rPr>
          <w:rFonts w:hint="eastAsia" w:asciiTheme="minorEastAsia" w:hAnsiTheme="minorEastAsia" w:eastAsiaTheme="minorEastAsia" w:cstheme="minorEastAsia"/>
          <w:snapToGrid w:val="0"/>
          <w:kern w:val="0"/>
          <w:sz w:val="24"/>
          <w:szCs w:val="24"/>
        </w:rPr>
        <w:t>资格文件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（一）营业执照或者法人证书复印件（加盖投标单位鲜章）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（二）法定代表人身份证明书或者法定代表人授权委托书</w:t>
      </w:r>
    </w:p>
    <w:p>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法定代表人身份证明书</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（投标单位全称）任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4"/>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法定代表人身份证正反面复印件</w:t>
            </w: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tbl>
    <w:p>
      <w:pPr>
        <w:pStyle w:val="6"/>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z w:val="24"/>
          <w:szCs w:val="24"/>
        </w:rPr>
      </w:pPr>
      <w:bookmarkStart w:id="35" w:name="_Toc372538179"/>
      <w:r>
        <w:rPr>
          <w:rFonts w:hint="eastAsia" w:asciiTheme="minorEastAsia" w:hAnsiTheme="minorEastAsia" w:eastAsiaTheme="minorEastAsia" w:cstheme="minorEastAsia"/>
          <w:snapToGrid w:val="0"/>
          <w:kern w:val="0"/>
          <w:sz w:val="24"/>
          <w:szCs w:val="24"/>
        </w:rPr>
        <w:t>法定代表人授权委托书</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（投标单位名称）的法定代表人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（被授权人姓名）身份证代码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代表我单位全权办理</w:t>
      </w:r>
      <w:r>
        <w:rPr>
          <w:rFonts w:hint="eastAsia" w:asciiTheme="minorEastAsia" w:hAnsiTheme="minorEastAsia" w:cstheme="minorEastAsia"/>
          <w:sz w:val="24"/>
          <w:szCs w:val="24"/>
          <w:u w:val="single"/>
          <w:lang w:eastAsia="zh-CN"/>
        </w:rPr>
        <w:t>采购“财务内控一体化系统服务”</w:t>
      </w:r>
      <w:r>
        <w:rPr>
          <w:rFonts w:hint="eastAsia" w:asciiTheme="minorEastAsia" w:hAnsiTheme="minorEastAsia" w:eastAsiaTheme="minorEastAsia" w:cstheme="minorEastAsia"/>
          <w:sz w:val="24"/>
          <w:szCs w:val="24"/>
        </w:rPr>
        <w:t>项目的投标、磋商、签约等工作，并签署全部有关文件、协议及合同。</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我单位对被授权人的签字负全部责任。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被授权人：                 法定代表人：</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(签字或盖章)     </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4"/>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被授权人身份证正反面复印件</w:t>
            </w: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bookmarkEnd w:id="35"/>
    </w:tbl>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（三）诚信声明书（格式）</w:t>
      </w:r>
    </w:p>
    <w:p>
      <w:pPr>
        <w:pStyle w:val="6"/>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（投标单位名称）郑重声明：</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我方对以上声明负全部法律责任。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Style w:val="17"/>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）中小企业声明函、监狱企业证明文件、残疾人福利性单位声明函</w:t>
      </w:r>
    </w:p>
    <w:p>
      <w:pPr>
        <w:tabs>
          <w:tab w:val="left" w:pos="6300"/>
        </w:tabs>
        <w:snapToGrid w:val="0"/>
        <w:spacing w:line="500" w:lineRule="exact"/>
        <w:ind w:firstLine="560" w:firstLineChars="200"/>
        <w:jc w:val="center"/>
        <w:rPr>
          <w:rFonts w:hint="eastAsia" w:ascii="方正仿宋_GBK" w:hAnsi="宋体" w:eastAsia="方正仿宋_GBK"/>
        </w:rPr>
      </w:pPr>
      <w:r>
        <w:rPr>
          <w:rFonts w:hint="eastAsia" w:ascii="方正仿宋_GBK" w:hAnsi="宋体" w:eastAsia="方正仿宋_GBK"/>
        </w:rPr>
        <w:t>中小企业声明函</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本公司（联合体）郑重声明，根据《政府采购促进中小企业发展管理办法》（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）的规定，本公司（联合体）参加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采购活动，服务全部由符合政策要求的中小企业承接。相关企业（含联合体中的中小企业、签订分包意向协议的中小企业）的具体情况如下：</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w:t>
      </w:r>
      <w:r>
        <w:rPr>
          <w:rFonts w:hint="eastAsia" w:ascii="方正仿宋_GBK" w:hAnsi="仿宋" w:eastAsia="方正仿宋_GBK"/>
          <w:sz w:val="24"/>
          <w:szCs w:val="28"/>
        </w:rPr>
        <w:t>；承接企业为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为本标的提供的服务人员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人，其中与本企业签订劳动合同</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人，其他人员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人。有其他人员的不符合中小企业扶持政策（适用于服务采购项目）;</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 xml:space="preserve"> （标的名称）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w:t>
      </w:r>
      <w:r>
        <w:rPr>
          <w:rFonts w:hint="eastAsia" w:ascii="方正仿宋_GBK" w:hAnsi="仿宋" w:eastAsia="方正仿宋_GBK"/>
          <w:sz w:val="24"/>
          <w:szCs w:val="28"/>
        </w:rPr>
        <w:t>；承接企业为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为本标的提供的服务人员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人，其中与本企业签订劳动合同</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人，其他人员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人。有其他人员的不符合中小企业扶持政策（适用于服务采购项目）;</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ascii="方正仿宋_GBK" w:hAnsi="仿宋" w:eastAsia="方正仿宋_GBK"/>
          <w:sz w:val="24"/>
          <w:szCs w:val="28"/>
        </w:rPr>
        <w:t>……</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 xml:space="preserve">                                                    </w:t>
      </w:r>
    </w:p>
    <w:p>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 xml:space="preserve">企业名称（盖章）： </w:t>
      </w:r>
    </w:p>
    <w:p>
      <w:pPr>
        <w:tabs>
          <w:tab w:val="left" w:pos="6300"/>
        </w:tabs>
        <w:snapToGrid w:val="0"/>
        <w:spacing w:line="500" w:lineRule="exact"/>
        <w:ind w:right="784" w:firstLine="6120" w:firstLineChars="2550"/>
        <w:rPr>
          <w:rFonts w:hint="eastAsia" w:ascii="方正仿宋_GBK" w:hAnsi="仿宋" w:eastAsia="方正仿宋_GBK"/>
          <w:sz w:val="24"/>
        </w:rPr>
      </w:pPr>
      <w:r>
        <w:rPr>
          <w:rFonts w:hint="eastAsia" w:ascii="方正仿宋_GBK" w:hAnsi="仿宋" w:eastAsia="方正仿宋_GBK"/>
          <w:sz w:val="24"/>
          <w:szCs w:val="28"/>
        </w:rPr>
        <w:t>日期：</w:t>
      </w:r>
    </w:p>
    <w:p>
      <w:pPr>
        <w:tabs>
          <w:tab w:val="left" w:pos="6300"/>
        </w:tabs>
        <w:snapToGrid w:val="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pPr>
        <w:tabs>
          <w:tab w:val="left" w:pos="6300"/>
        </w:tabs>
        <w:snapToGrid w:val="0"/>
        <w:ind w:firstLine="420" w:firstLineChars="200"/>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2.中小企业应当按照《中小企业划型标准规定》（工信部联企业〔2011〕300号），如实填写并提交《中小企业声明函》。</w:t>
      </w:r>
    </w:p>
    <w:p>
      <w:pPr>
        <w:tabs>
          <w:tab w:val="left" w:pos="6300"/>
        </w:tabs>
        <w:snapToGrid w:val="0"/>
        <w:ind w:firstLine="420" w:firstLineChars="200"/>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3.供应商填写《中小企业声明函》中所属行业时，应与采购文件第一篇“采购标的对应的中小企业划分标准所属行业”中填写的所属行业一致。</w:t>
      </w:r>
    </w:p>
    <w:p>
      <w:pPr>
        <w:tabs>
          <w:tab w:val="left" w:pos="6300"/>
        </w:tabs>
        <w:snapToGrid w:val="0"/>
        <w:ind w:firstLine="420" w:firstLineChars="200"/>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4.本声明函“企业名称（盖章）”处为供应商盖章。</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注：各行业划型标准：</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80" w:firstLineChars="200"/>
        <w:jc w:val="center"/>
        <w:rPr>
          <w:rFonts w:hint="eastAsia" w:ascii="方正仿宋_GBK" w:hAnsi="宋体" w:eastAsia="方正仿宋_GBK"/>
        </w:rPr>
      </w:pPr>
      <w:r>
        <w:rPr>
          <w:rFonts w:ascii="方正仿宋_GBK" w:hAnsi="宋体" w:eastAsia="方正仿宋_GBK"/>
          <w:sz w:val="24"/>
          <w:szCs w:val="24"/>
        </w:rPr>
        <w:br w:type="page"/>
      </w:r>
      <w:r>
        <w:rPr>
          <w:rFonts w:hint="eastAsia" w:ascii="方正仿宋_GBK" w:hAnsi="宋体" w:eastAsia="方正仿宋_GBK"/>
        </w:rPr>
        <w:t>监狱企业证明文件</w:t>
      </w:r>
    </w:p>
    <w:p>
      <w:pPr>
        <w:tabs>
          <w:tab w:val="left" w:pos="6300"/>
        </w:tabs>
        <w:snapToGrid w:val="0"/>
        <w:spacing w:line="400" w:lineRule="exact"/>
        <w:ind w:firstLine="480" w:firstLineChars="200"/>
        <w:rPr>
          <w:rFonts w:ascii="方正仿宋_GBK" w:hAnsi="仿宋" w:eastAsia="方正仿宋_GBK"/>
          <w:sz w:val="24"/>
        </w:rPr>
      </w:pPr>
      <w:r>
        <w:rPr>
          <w:rFonts w:hint="eastAsia" w:ascii="方正仿宋_GBK" w:hAnsi="仿宋" w:eastAsia="方正仿宋_GBK"/>
          <w:sz w:val="24"/>
        </w:rPr>
        <w:t>以省级以上监狱管理局、戒毒管理局（含新疆生产建设兵团）出具的属于监狱企业的证明文件为准。</w:t>
      </w:r>
    </w:p>
    <w:p>
      <w:pPr>
        <w:tabs>
          <w:tab w:val="left" w:pos="6300"/>
        </w:tabs>
        <w:snapToGrid w:val="0"/>
        <w:spacing w:line="500" w:lineRule="exact"/>
        <w:ind w:firstLine="480" w:firstLineChars="200"/>
        <w:jc w:val="center"/>
        <w:rPr>
          <w:rFonts w:hint="eastAsia" w:ascii="方正仿宋_GBK" w:hAnsi="宋体" w:eastAsia="方正仿宋_GBK"/>
        </w:rPr>
      </w:pPr>
      <w:r>
        <w:rPr>
          <w:rFonts w:ascii="方正仿宋_GBK" w:hAnsi="仿宋" w:eastAsia="方正仿宋_GBK"/>
          <w:sz w:val="24"/>
        </w:rPr>
        <w:br w:type="page"/>
      </w:r>
      <w:r>
        <w:rPr>
          <w:rFonts w:hint="eastAsia" w:ascii="方正仿宋_GBK" w:hAnsi="宋体" w:eastAsia="方正仿宋_GBK"/>
        </w:rPr>
        <w:t>残疾人福利性单位声明函</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供应商名称（盖章）：</w:t>
      </w:r>
    </w:p>
    <w:p>
      <w:pPr>
        <w:snapToGrid w:val="0"/>
        <w:spacing w:line="44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日  期：</w:t>
      </w: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p>
    <w:p>
      <w:pPr>
        <w:snapToGrid w:val="0"/>
        <w:spacing w:line="440" w:lineRule="exact"/>
        <w:ind w:firstLine="480" w:firstLineChars="200"/>
        <w:rPr>
          <w:rFonts w:hint="eastAsia" w:ascii="方正仿宋_GBK" w:hAnsi="仿宋" w:eastAsia="方正仿宋_GBK"/>
          <w:sz w:val="24"/>
        </w:rPr>
      </w:pPr>
      <w:r>
        <w:rPr>
          <w:rFonts w:hint="eastAsia" w:ascii="方正仿宋_GBK" w:hAnsi="宋体" w:eastAsia="方正仿宋_GBK" w:cs="宋体"/>
          <w:kern w:val="0"/>
          <w:sz w:val="24"/>
        </w:rPr>
        <w:t>若成交供应商为残疾人福利性单位的，将在结果公告时公告其《残疾人福利性单位声明函》。</w:t>
      </w:r>
    </w:p>
    <w:p>
      <w:pPr>
        <w:snapToGrid w:val="0"/>
        <w:spacing w:line="440" w:lineRule="exact"/>
        <w:ind w:firstLine="480" w:firstLineChars="200"/>
        <w:rPr>
          <w:rFonts w:hint="eastAsia" w:ascii="方正仿宋_GBK" w:hAnsi="仿宋" w:eastAsia="方正仿宋_GBK"/>
          <w:sz w:val="24"/>
        </w:rPr>
      </w:pPr>
    </w:p>
    <w:p>
      <w:pPr>
        <w:pStyle w:val="2"/>
        <w:rPr>
          <w:rFonts w:hint="eastAsia"/>
        </w:rPr>
      </w:pPr>
    </w:p>
    <w:p>
      <w:pPr>
        <w:pageBreakBefore w:val="0"/>
        <w:numPr>
          <w:ilvl w:val="0"/>
          <w:numId w:val="1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rPr>
        <w:t>技术文件</w:t>
      </w:r>
    </w:p>
    <w:p>
      <w:pPr>
        <w:numPr>
          <w:ilvl w:val="0"/>
          <w:numId w:val="0"/>
        </w:numPr>
        <w:spacing w:line="360" w:lineRule="auto"/>
        <w:ind w:left="357" w:leftChars="170" w:firstLine="0" w:firstLineChars="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（一）实施方案（格式、内容自拟，每页加盖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供应商鲜章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pPr>
        <w:pageBreakBefore w:val="0"/>
        <w:numPr>
          <w:ilvl w:val="0"/>
          <w:numId w:val="11"/>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经济文件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（一）报价函（格式）</w:t>
      </w:r>
    </w:p>
    <w:p>
      <w:pPr>
        <w:pStyle w:val="6"/>
        <w:pageBreakBefore w:val="0"/>
        <w:kinsoku/>
        <w:wordWrap/>
        <w:overflowPunct/>
        <w:topLinePunct w:val="0"/>
        <w:autoSpaceDE/>
        <w:autoSpaceDN/>
        <w:bidi w:val="0"/>
        <w:adjustRightInd/>
        <w:spacing w:line="460" w:lineRule="exact"/>
        <w:ind w:firstLine="562"/>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报 价 函</w:t>
      </w:r>
      <w:bookmarkEnd w:id="34"/>
      <w:bookmarkStart w:id="36" w:name="_Toc372538175"/>
    </w:p>
    <w:p>
      <w:pPr>
        <w:pStyle w:val="6"/>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Style w:val="6"/>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我单位收到贵单位</w:t>
      </w:r>
      <w:r>
        <w:rPr>
          <w:rFonts w:hint="eastAsia" w:asciiTheme="minorEastAsia" w:hAnsiTheme="minorEastAsia" w:eastAsiaTheme="minorEastAsia" w:cstheme="minorEastAsia"/>
          <w:sz w:val="24"/>
          <w:szCs w:val="24"/>
          <w:u w:val="single"/>
        </w:rPr>
        <w:t>《</w:t>
      </w:r>
      <w:r>
        <w:rPr>
          <w:rFonts w:hint="eastAsia" w:asciiTheme="minorEastAsia" w:hAnsiTheme="minorEastAsia" w:cstheme="minorEastAsia"/>
          <w:sz w:val="24"/>
          <w:szCs w:val="24"/>
          <w:u w:val="single"/>
          <w:lang w:eastAsia="zh-CN"/>
        </w:rPr>
        <w:t>采购“财务内控一体化系统服务”</w:t>
      </w:r>
      <w:r>
        <w:rPr>
          <w:rFonts w:hint="eastAsia" w:asciiTheme="minorEastAsia" w:hAnsiTheme="minorEastAsia" w:eastAsiaTheme="minorEastAsia" w:cstheme="minorEastAsia"/>
          <w:sz w:val="24"/>
          <w:szCs w:val="24"/>
          <w:u w:val="single"/>
        </w:rPr>
        <w:t>询比文件》</w:t>
      </w:r>
      <w:r>
        <w:rPr>
          <w:rFonts w:hint="eastAsia" w:asciiTheme="minorEastAsia" w:hAnsiTheme="minorEastAsia" w:eastAsiaTheme="minorEastAsia" w:cstheme="minorEastAsia"/>
          <w:sz w:val="24"/>
          <w:szCs w:val="24"/>
        </w:rPr>
        <w:t>，通过我单位的授权代表，向贵单位递交全套投标文件参与下列项目的投标报价，现为我单位的一切投标行为作郑重承诺及声明如下：</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报价项目名称：</w:t>
      </w:r>
      <w:r>
        <w:rPr>
          <w:rFonts w:hint="eastAsia" w:asciiTheme="minorEastAsia" w:hAnsiTheme="minorEastAsia" w:cstheme="minorEastAsia"/>
          <w:sz w:val="24"/>
          <w:szCs w:val="24"/>
          <w:u w:val="single"/>
          <w:lang w:eastAsia="zh-CN"/>
        </w:rPr>
        <w:t>采购“财务内控一体化系统服务”</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2.  我单位已认真阅读了</w:t>
      </w:r>
      <w:r>
        <w:rPr>
          <w:rFonts w:hint="eastAsia" w:asciiTheme="minorEastAsia" w:hAnsiTheme="minorEastAsia" w:eastAsiaTheme="minorEastAsia" w:cstheme="minorEastAsia"/>
          <w:sz w:val="24"/>
          <w:szCs w:val="24"/>
          <w:u w:val="single"/>
        </w:rPr>
        <w:t>《</w:t>
      </w:r>
      <w:r>
        <w:rPr>
          <w:rFonts w:hint="eastAsia" w:asciiTheme="minorEastAsia" w:hAnsiTheme="minorEastAsia" w:cstheme="minorEastAsia"/>
          <w:sz w:val="24"/>
          <w:szCs w:val="24"/>
          <w:u w:val="single"/>
          <w:lang w:eastAsia="zh-CN"/>
        </w:rPr>
        <w:t>采购“财务内控一体化系统服务”</w:t>
      </w:r>
      <w:r>
        <w:rPr>
          <w:rFonts w:hint="eastAsia" w:asciiTheme="minorEastAsia" w:hAnsiTheme="minorEastAsia" w:eastAsiaTheme="minorEastAsia" w:cstheme="minorEastAsia"/>
          <w:sz w:val="24"/>
          <w:szCs w:val="24"/>
          <w:u w:val="single"/>
        </w:rPr>
        <w:t>询比文件》</w:t>
      </w:r>
      <w:r>
        <w:rPr>
          <w:rFonts w:hint="eastAsia" w:asciiTheme="minorEastAsia" w:hAnsiTheme="minorEastAsia" w:eastAsiaTheme="minorEastAsia" w:cstheme="minorEastAsia"/>
          <w:sz w:val="24"/>
          <w:szCs w:val="24"/>
        </w:rPr>
        <w:t>，完全清楚理解其内容及规约，同意接受采购文件的要求，均没有任何异议、质疑和误解之处。</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我单位完全服从和尊重评审结果和决定。</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同意按询比文件要求认真履行成交人的义务，若我方行为不当而损害了贵单位的合法权益，我单位愿在任何时候无条件承担相应的缔约过失责任和经济赔偿。</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我单位在本次投标活动中，不以任何不正当的手段影响、串通、排斥有关当事人或谋取、施予非法利益，如有行为不当，愿独自承担此行为所造成的后果和法律责任。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以上承诺均涵盖整套投标文件。</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按询比文件要求，我单位愿意以（人民币）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），作为此次投标的最终报价。</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投标单位（全称）：        （公章）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w:t>
      </w:r>
      <w:bookmarkEnd w:id="36"/>
    </w:p>
    <w:p>
      <w:pPr>
        <w:numPr>
          <w:ilvl w:val="0"/>
          <w:numId w:val="0"/>
        </w:numPr>
        <w:jc w:val="both"/>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（二）明细报价表（格式）</w:t>
      </w:r>
    </w:p>
    <w:p>
      <w:pPr>
        <w:pStyle w:val="6"/>
        <w:spacing w:line="500" w:lineRule="atLeas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明  细  报  价  表</w:t>
      </w:r>
    </w:p>
    <w:p>
      <w:pPr>
        <w:spacing w:line="36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项目名称：采购</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“财务内控一体化系统服务”</w:t>
      </w:r>
    </w:p>
    <w:tbl>
      <w:tblPr>
        <w:tblStyle w:val="14"/>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64"/>
        <w:gridCol w:w="2068"/>
        <w:gridCol w:w="1344"/>
        <w:gridCol w:w="1368"/>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825"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664"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2068"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内容</w:t>
            </w:r>
          </w:p>
        </w:tc>
        <w:tc>
          <w:tcPr>
            <w:tcW w:w="1344"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单价</w:t>
            </w:r>
          </w:p>
        </w:tc>
        <w:tc>
          <w:tcPr>
            <w:tcW w:w="1368"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数量</w:t>
            </w:r>
          </w:p>
        </w:tc>
        <w:tc>
          <w:tcPr>
            <w:tcW w:w="1448"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664"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6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4"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68" w:type="dxa"/>
          </w:tcPr>
          <w:p>
            <w:pPr>
              <w:tabs>
                <w:tab w:val="left" w:pos="312"/>
              </w:tabs>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664"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68" w:type="dxa"/>
            <w:vAlign w:val="center"/>
          </w:tcPr>
          <w:p>
            <w:pPr>
              <w:snapToGrid w:val="0"/>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4"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68" w:type="dxa"/>
          </w:tcPr>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825"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664"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6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4"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68" w:type="dxa"/>
          </w:tcPr>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25"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1664"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6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4"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68" w:type="dxa"/>
          </w:tcPr>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825"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p>
        </w:tc>
        <w:tc>
          <w:tcPr>
            <w:tcW w:w="1664"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6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4"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68" w:type="dxa"/>
          </w:tcPr>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p>
        </w:tc>
        <w:tc>
          <w:tcPr>
            <w:tcW w:w="1664"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6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4"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68" w:type="dxa"/>
          </w:tcPr>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tc>
        <w:tc>
          <w:tcPr>
            <w:tcW w:w="1664"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6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4" w:type="dxa"/>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68" w:type="dxa"/>
          </w:tcPr>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8" w:type="dxa"/>
            <w:vAlign w:val="center"/>
          </w:tcPr>
          <w:p>
            <w:pPr>
              <w:pStyle w:val="4"/>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2489" w:type="dxa"/>
            <w:gridSpan w:val="2"/>
            <w:vAlign w:val="center"/>
          </w:tcPr>
          <w:p>
            <w:pPr>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总 计（与报价函的报价一致，如不一致，以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最小金额</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为准）</w:t>
            </w:r>
          </w:p>
        </w:tc>
        <w:tc>
          <w:tcPr>
            <w:tcW w:w="6228" w:type="dxa"/>
            <w:gridSpan w:val="4"/>
            <w:vAlign w:val="center"/>
          </w:tcPr>
          <w:p>
            <w:pPr>
              <w:snapToGrid w:val="0"/>
              <w:spacing w:line="360" w:lineRule="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人民币（大写）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小写： </w:t>
            </w:r>
          </w:p>
        </w:tc>
      </w:tr>
    </w:tbl>
    <w:p>
      <w:pPr>
        <w:snapToGrid w:val="0"/>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napToGrid w:val="0"/>
        <w:spacing w:line="360" w:lineRule="auto"/>
        <w:rPr>
          <w:rFonts w:hint="eastAsia" w:asciiTheme="minorEastAsia" w:hAnsiTheme="minorEastAsia" w:eastAsiaTheme="minorEastAsia" w:cstheme="minorEastAsia"/>
          <w:color w:val="000000" w:themeColor="text1"/>
          <w:sz w:val="24"/>
          <w:szCs w:val="24"/>
          <w:highlight w:val="none"/>
          <w:bdr w:val="single" w:color="auto" w:sz="4" w:space="0"/>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（此表</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为样表，投标单位可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根据各种资费内容自行设计）</w:t>
      </w:r>
    </w:p>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500" w:lineRule="exac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法定代表人或被授权代表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或盖章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p>
    <w:p>
      <w:pPr>
        <w:pStyle w:val="10"/>
        <w:spacing w:line="360" w:lineRule="auto"/>
        <w:ind w:firstLine="3960" w:firstLineChars="165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auto"/>
          <w:kern w:val="0"/>
          <w:sz w:val="24"/>
          <w:szCs w:val="24"/>
        </w:rPr>
      </w:pPr>
    </w:p>
    <w:p>
      <w:pPr>
        <w:pageBreakBefore w:val="0"/>
        <w:numPr>
          <w:ilvl w:val="0"/>
          <w:numId w:val="11"/>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其他文件（不作为必要要件）</w:t>
      </w:r>
    </w:p>
    <w:p>
      <w:pPr>
        <w:pageBreakBefore w:val="0"/>
        <w:kinsoku/>
        <w:wordWrap/>
        <w:overflowPunct/>
        <w:topLinePunct w:val="0"/>
        <w:autoSpaceDE/>
        <w:autoSpaceDN/>
        <w:bidi w:val="0"/>
        <w:adjustRightInd/>
        <w:spacing w:line="460" w:lineRule="exact"/>
        <w:textAlignment w:val="auto"/>
      </w:pPr>
      <w:r>
        <w:rPr>
          <w:rFonts w:hint="eastAsia" w:asciiTheme="minorEastAsia" w:hAnsiTheme="minorEastAsia" w:eastAsiaTheme="minorEastAsia" w:cstheme="minorEastAsia"/>
          <w:snapToGrid w:val="0"/>
          <w:kern w:val="0"/>
          <w:sz w:val="24"/>
          <w:szCs w:val="24"/>
        </w:rPr>
        <w:t>投标单位提供与评分有关的内容或者投标单位认为需要提供的其他文件（每页加盖投标单位鲜章或骑缝章</w:t>
      </w:r>
    </w:p>
    <w:sectPr>
      <w:headerReference r:id="rId3" w:type="default"/>
      <w:footerReference r:id="rId4" w:type="default"/>
      <w:pgSz w:w="11907" w:h="16840"/>
      <w:pgMar w:top="1440" w:right="1797" w:bottom="1440" w:left="179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仿宋体">
    <w:altName w:val="宋体"/>
    <w:panose1 w:val="00000000000000000000"/>
    <w:charset w:val="86"/>
    <w:family w:val="roma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隶书">
    <w:altName w:val="微软雅黑"/>
    <w:panose1 w:val="0201050906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Segoe UI Symbol">
    <w:panose1 w:val="020B0502040204020203"/>
    <w:charset w:val="00"/>
    <w:family w:val="swiss"/>
    <w:pitch w:val="default"/>
    <w:sig w:usb0="800001E3" w:usb1="1200FFEF" w:usb2="00040000" w:usb3="04000000" w:csb0="00000001" w:csb1="40000000"/>
  </w:font>
  <w:font w:name="华文中宋">
    <w:altName w:val="宋体"/>
    <w:panose1 w:val="02010600040101010101"/>
    <w:charset w:val="86"/>
    <w:family w:val="auto"/>
    <w:pitch w:val="default"/>
    <w:sig w:usb0="00000000" w:usb1="00000000" w:usb2="00000000" w:usb3="00000000" w:csb0="0004009F" w:csb1="DFD70000"/>
  </w:font>
  <w:font w:name="方正楷体简体">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
    <w:altName w:val="Segoe Print"/>
    <w:panose1 w:val="00000000000000000000"/>
    <w:charset w:val="00"/>
    <w:family w:val="auto"/>
    <w:pitch w:val="default"/>
    <w:sig w:usb0="00000000" w:usb1="00000000" w:usb2="00000000" w:usb3="00000000" w:csb0="00000000" w:csb1="00000000"/>
  </w:font>
  <w:font w:name="font-weight : 400">
    <w:altName w:val="微软雅黑"/>
    <w:panose1 w:val="00000000000000000000"/>
    <w:charset w:val="00"/>
    <w:family w:val="auto"/>
    <w:pitch w:val="default"/>
    <w:sig w:usb0="00000000" w:usb1="00000000" w:usb2="00000000" w:usb3="00000000" w:csb0="00040001" w:csb1="00000000"/>
  </w:font>
  <w:font w:name="HakusyuTenkoin_kk">
    <w:altName w:val="MS UI Gothic"/>
    <w:panose1 w:val="02000609000000000000"/>
    <w:charset w:val="80"/>
    <w:family w:val="auto"/>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方正北魏楷书简体">
    <w:altName w:val="宋体"/>
    <w:panose1 w:val="03000509000000000000"/>
    <w:charset w:val="86"/>
    <w:family w:val="script"/>
    <w:pitch w:val="default"/>
    <w:sig w:usb0="00000000" w:usb1="00000000" w:usb2="00000010" w:usb3="00000000" w:csb0="00040000" w:csb1="00000000"/>
  </w:font>
  <w:font w:name="Symbol">
    <w:panose1 w:val="05050102010706020507"/>
    <w:charset w:val="00"/>
    <w:family w:val="roman"/>
    <w:pitch w:val="default"/>
    <w:sig w:usb0="00000000" w:usb1="00000000" w:usb2="00000000" w:usb3="00000000" w:csb0="80000000" w:csb1="00000000"/>
  </w:font>
  <w:font w:name="方正小标宋简体">
    <w:altName w:val="微软雅黑"/>
    <w:panose1 w:val="02000000000000000000"/>
    <w:charset w:val="86"/>
    <w:family w:val="script"/>
    <w:pitch w:val="default"/>
    <w:sig w:usb0="00000000" w:usb1="00000000" w:usb2="00000012" w:usb3="00000000" w:csb0="00040001" w:csb1="0000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Yu Gothic Medium">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Bahnschrift Light Condensed">
    <w:panose1 w:val="020B0502040204020203"/>
    <w:charset w:val="00"/>
    <w:family w:val="auto"/>
    <w:pitch w:val="default"/>
    <w:sig w:usb0="A00002C7" w:usb1="00000002" w:usb2="00000000" w:usb3="00000000" w:csb0="2000019F" w:csb1="00000000"/>
  </w:font>
  <w:font w:name="Bahnschrift SemiBold">
    <w:panose1 w:val="020B0502040204020203"/>
    <w:charset w:val="00"/>
    <w:family w:val="auto"/>
    <w:pitch w:val="default"/>
    <w:sig w:usb0="A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Yu Gothic UI Semilight">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SimSun-ExtB">
    <w:panose1 w:val="02010609060101010101"/>
    <w:charset w:val="86"/>
    <w:family w:val="auto"/>
    <w:pitch w:val="default"/>
    <w:sig w:usb0="00000001" w:usb1="02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Microsoft YaHei UI Light">
    <w:panose1 w:val="020B0502040204020203"/>
    <w:charset w:val="86"/>
    <w:family w:val="auto"/>
    <w:pitch w:val="default"/>
    <w:sig w:usb0="80000287" w:usb1="2ACF0010"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方正新报宋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sz w:val="28"/>
      </w:rPr>
    </w:pPr>
    <w:r>
      <w:rPr>
        <w:rStyle w:val="13"/>
        <w:sz w:val="28"/>
      </w:rPr>
      <w:t>-</w:t>
    </w:r>
    <w:r>
      <w:rPr>
        <w:sz w:val="28"/>
      </w:rPr>
      <w:fldChar w:fldCharType="begin"/>
    </w:r>
    <w:r>
      <w:rPr>
        <w:rStyle w:val="13"/>
        <w:sz w:val="28"/>
      </w:rPr>
      <w:instrText xml:space="preserve">PAGE  </w:instrText>
    </w:r>
    <w:r>
      <w:rPr>
        <w:sz w:val="28"/>
      </w:rPr>
      <w:fldChar w:fldCharType="separate"/>
    </w:r>
    <w:r>
      <w:rPr>
        <w:rStyle w:val="13"/>
        <w:sz w:val="28"/>
      </w:rPr>
      <w:t>2</w:t>
    </w:r>
    <w:r>
      <w:rPr>
        <w:sz w:val="28"/>
      </w:rPr>
      <w:fldChar w:fldCharType="end"/>
    </w:r>
    <w:r>
      <w:rPr>
        <w:rStyle w:val="13"/>
        <w:sz w:val="28"/>
      </w:rPr>
      <w:t>-</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596DF"/>
    <w:multiLevelType w:val="singleLevel"/>
    <w:tmpl w:val="B6C596DF"/>
    <w:lvl w:ilvl="0" w:tentative="0">
      <w:start w:val="2"/>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2">
    <w:nsid w:val="5A6FCD4C"/>
    <w:multiLevelType w:val="singleLevel"/>
    <w:tmpl w:val="5A6FCD4C"/>
    <w:lvl w:ilvl="0" w:tentative="0">
      <w:start w:val="1"/>
      <w:numFmt w:val="decimal"/>
      <w:suff w:val="nothing"/>
      <w:lvlText w:val="%1、"/>
      <w:lvlJc w:val="left"/>
    </w:lvl>
  </w:abstractNum>
  <w:abstractNum w:abstractNumId="3">
    <w:nsid w:val="5A710D63"/>
    <w:multiLevelType w:val="singleLevel"/>
    <w:tmpl w:val="5A710D63"/>
    <w:lvl w:ilvl="0" w:tentative="0">
      <w:start w:val="1"/>
      <w:numFmt w:val="decimal"/>
      <w:suff w:val="nothing"/>
      <w:lvlText w:val="%1、"/>
      <w:lvlJc w:val="left"/>
    </w:lvl>
  </w:abstractNum>
  <w:abstractNum w:abstractNumId="4">
    <w:nsid w:val="5A712E63"/>
    <w:multiLevelType w:val="singleLevel"/>
    <w:tmpl w:val="5A712E63"/>
    <w:lvl w:ilvl="0" w:tentative="0">
      <w:start w:val="1"/>
      <w:numFmt w:val="chineseCounting"/>
      <w:suff w:val="nothing"/>
      <w:lvlText w:val="（%1）"/>
      <w:lvlJc w:val="left"/>
    </w:lvl>
  </w:abstractNum>
  <w:abstractNum w:abstractNumId="5">
    <w:nsid w:val="5A712F59"/>
    <w:multiLevelType w:val="singleLevel"/>
    <w:tmpl w:val="5A712F59"/>
    <w:lvl w:ilvl="0" w:tentative="0">
      <w:start w:val="2"/>
      <w:numFmt w:val="chineseCounting"/>
      <w:suff w:val="nothing"/>
      <w:lvlText w:val="%1、"/>
      <w:lvlJc w:val="left"/>
    </w:lvl>
  </w:abstractNum>
  <w:abstractNum w:abstractNumId="6">
    <w:nsid w:val="5A7131F6"/>
    <w:multiLevelType w:val="singleLevel"/>
    <w:tmpl w:val="5A7131F6"/>
    <w:lvl w:ilvl="0" w:tentative="0">
      <w:start w:val="1"/>
      <w:numFmt w:val="chineseCounting"/>
      <w:suff w:val="nothing"/>
      <w:lvlText w:val="%1、"/>
      <w:lvlJc w:val="left"/>
    </w:lvl>
  </w:abstractNum>
  <w:abstractNum w:abstractNumId="7">
    <w:nsid w:val="5A71356A"/>
    <w:multiLevelType w:val="singleLevel"/>
    <w:tmpl w:val="5A71356A"/>
    <w:lvl w:ilvl="0" w:tentative="0">
      <w:start w:val="2"/>
      <w:numFmt w:val="chineseCounting"/>
      <w:suff w:val="nothing"/>
      <w:lvlText w:val="%1、"/>
      <w:lvlJc w:val="left"/>
    </w:lvl>
  </w:abstractNum>
  <w:abstractNum w:abstractNumId="8">
    <w:nsid w:val="5A71394B"/>
    <w:multiLevelType w:val="singleLevel"/>
    <w:tmpl w:val="5A71394B"/>
    <w:lvl w:ilvl="0" w:tentative="0">
      <w:start w:val="3"/>
      <w:numFmt w:val="chineseCounting"/>
      <w:suff w:val="nothing"/>
      <w:lvlText w:val="%1、"/>
      <w:lvlJc w:val="left"/>
    </w:lvl>
  </w:abstractNum>
  <w:abstractNum w:abstractNumId="9">
    <w:nsid w:val="5BE1602F"/>
    <w:multiLevelType w:val="singleLevel"/>
    <w:tmpl w:val="5BE1602F"/>
    <w:lvl w:ilvl="0" w:tentative="0">
      <w:start w:val="3"/>
      <w:numFmt w:val="chineseCounting"/>
      <w:suff w:val="nothing"/>
      <w:lvlText w:val="（%1）"/>
      <w:lvlJc w:val="left"/>
    </w:lvl>
  </w:abstractNum>
  <w:abstractNum w:abstractNumId="10">
    <w:nsid w:val="5EBCA6EE"/>
    <w:multiLevelType w:val="singleLevel"/>
    <w:tmpl w:val="5EBCA6EE"/>
    <w:lvl w:ilvl="0" w:tentative="0">
      <w:start w:val="1"/>
      <w:numFmt w:val="decimal"/>
      <w:suff w:val="space"/>
      <w:lvlText w:val="(%1)"/>
      <w:lvlJc w:val="left"/>
    </w:lvl>
  </w:abstractNum>
  <w:num w:numId="1">
    <w:abstractNumId w:val="1"/>
  </w:num>
  <w:num w:numId="2">
    <w:abstractNumId w:val="10"/>
  </w:num>
  <w:num w:numId="3">
    <w:abstractNumId w:val="0"/>
  </w:num>
  <w:num w:numId="4">
    <w:abstractNumId w:val="3"/>
  </w:num>
  <w:num w:numId="5">
    <w:abstractNumId w:val="2"/>
  </w:num>
  <w:num w:numId="6">
    <w:abstractNumId w:val="9"/>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63348"/>
    <w:rsid w:val="019D3E01"/>
    <w:rsid w:val="02992678"/>
    <w:rsid w:val="0341691C"/>
    <w:rsid w:val="11A40407"/>
    <w:rsid w:val="28143F2A"/>
    <w:rsid w:val="28EA02E5"/>
    <w:rsid w:val="45B1796F"/>
    <w:rsid w:val="485D1AE6"/>
    <w:rsid w:val="4DAF2167"/>
    <w:rsid w:val="4E4C408B"/>
    <w:rsid w:val="5D80733A"/>
    <w:rsid w:val="5E9729C1"/>
    <w:rsid w:val="6CC05E17"/>
    <w:rsid w:val="6F463348"/>
    <w:rsid w:val="760E237D"/>
    <w:rsid w:val="76E9393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next w:val="1"/>
    <w:qFormat/>
    <w:uiPriority w:val="0"/>
    <w:pPr>
      <w:keepNext/>
      <w:snapToGrid w:val="0"/>
      <w:spacing w:line="360" w:lineRule="atLeast"/>
      <w:outlineLvl w:val="0"/>
    </w:pPr>
    <w:rPr>
      <w:rFonts w:ascii="宋体" w:hAnsiTheme="minorHAnsi" w:eastAsiaTheme="minorEastAsia" w:cstheme="minorBidi"/>
      <w:sz w:val="28"/>
      <w:szCs w:val="22"/>
      <w:lang w:val="en-US" w:eastAsia="zh-CN" w:bidi="ar-SA"/>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First Indent"/>
    <w:basedOn w:val="2"/>
    <w:qFormat/>
    <w:uiPriority w:val="0"/>
    <w:pPr>
      <w:spacing w:line="360" w:lineRule="auto"/>
      <w:ind w:firstLine="420"/>
    </w:pPr>
    <w:rPr>
      <w:rFonts w:ascii="宋体" w:hAnsi="宋体"/>
      <w:sz w:val="24"/>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page number"/>
    <w:basedOn w:val="12"/>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图例"/>
    <w:basedOn w:val="1"/>
    <w:qFormat/>
    <w:uiPriority w:val="0"/>
    <w:pPr>
      <w:spacing w:before="120" w:after="120" w:line="360" w:lineRule="auto"/>
      <w:jc w:val="center"/>
    </w:pPr>
    <w:rPr>
      <w:rFonts w:eastAsia="仿宋_GB2312"/>
      <w:b/>
      <w:sz w:val="24"/>
    </w:rPr>
  </w:style>
  <w:style w:type="paragraph" w:customStyle="1" w:styleId="17">
    <w:name w:val="表格文字"/>
    <w:basedOn w:val="1"/>
    <w:next w:val="2"/>
    <w:qFormat/>
    <w:uiPriority w:val="0"/>
    <w:rPr>
      <w:rFonts w:ascii="Arial" w:hAnsi="Arial"/>
      <w:snapToGrid/>
      <w:kern w:val="2"/>
      <w:szCs w:val="21"/>
    </w:rPr>
  </w:style>
  <w:style w:type="character" w:customStyle="1" w:styleId="18">
    <w:name w:val="10"/>
    <w:basedOn w:val="12"/>
    <w:qFormat/>
    <w:uiPriority w:val="0"/>
    <w:rPr>
      <w:rFonts w:hint="default" w:ascii="Calibri" w:hAnsi="Calibri" w:cs="Calibri"/>
    </w:rPr>
  </w:style>
  <w:style w:type="character" w:customStyle="1" w:styleId="19">
    <w:name w:val="15"/>
    <w:basedOn w:val="12"/>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2026-03-12T07:11:00Z</dcterms:created>
  <dc:creator>user</dc:creator>
  <cp:lastModifiedBy>user</cp:lastModifiedBy>
  <dcterms:modified xsi:type="dcterms:W3CDTF">2026-03-16T09:04:11Z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