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Arial"/>
          <w:b/>
          <w:sz w:val="72"/>
        </w:rPr>
      </w:pPr>
    </w:p>
    <w:p>
      <w:pPr>
        <w:jc w:val="center"/>
        <w:outlineLvl w:val="0"/>
        <w:rPr>
          <w:rFonts w:hint="eastAsia" w:ascii="宋体" w:hAnsi="宋体" w:cs="Arial"/>
          <w:spacing w:val="80"/>
          <w:sz w:val="52"/>
          <w:szCs w:val="52"/>
        </w:rPr>
      </w:pPr>
      <w:r>
        <w:rPr>
          <w:rFonts w:hint="eastAsia" w:ascii="宋体" w:hAnsi="宋体" w:cs="Arial"/>
          <w:spacing w:val="80"/>
          <w:sz w:val="52"/>
          <w:szCs w:val="52"/>
        </w:rPr>
        <w:t>重庆中国三峡博物馆藏品（古籍）档案整理及数字化项目服务询</w:t>
      </w:r>
      <w:r>
        <w:rPr>
          <w:rFonts w:hint="eastAsia" w:ascii="宋体" w:hAnsi="宋体" w:cs="Arial"/>
          <w:spacing w:val="80"/>
          <w:sz w:val="52"/>
          <w:szCs w:val="52"/>
          <w:lang w:eastAsia="zh-CN"/>
        </w:rPr>
        <w:t>比</w:t>
      </w:r>
      <w:r>
        <w:rPr>
          <w:rFonts w:hint="eastAsia" w:ascii="宋体" w:hAnsi="宋体" w:cs="Arial"/>
          <w:spacing w:val="80"/>
          <w:sz w:val="52"/>
          <w:szCs w:val="52"/>
        </w:rPr>
        <w:t>文件</w:t>
      </w:r>
    </w:p>
    <w:p>
      <w:pPr>
        <w:spacing w:line="700" w:lineRule="exact"/>
        <w:jc w:val="center"/>
        <w:rPr>
          <w:rFonts w:hint="eastAsia" w:ascii="宋体" w:hAnsi="宋体" w:cs="Arial"/>
          <w:sz w:val="52"/>
          <w:szCs w:val="52"/>
        </w:rPr>
      </w:pPr>
    </w:p>
    <w:p>
      <w:pPr>
        <w:tabs>
          <w:tab w:val="left" w:pos="2761"/>
          <w:tab w:val="left" w:pos="7352"/>
        </w:tabs>
        <w:spacing w:line="700" w:lineRule="exact"/>
        <w:jc w:val="left"/>
        <w:rPr>
          <w:rFonts w:hint="eastAsia" w:ascii="宋体" w:hAnsi="宋体" w:cs="Arial" w:eastAsiaTheme="minorEastAsia"/>
          <w:sz w:val="32"/>
          <w:lang w:eastAsia="zh-CN"/>
        </w:rPr>
      </w:pPr>
      <w:r>
        <w:rPr>
          <w:rFonts w:hint="eastAsia" w:ascii="宋体" w:hAnsi="宋体" w:cs="Arial"/>
          <w:sz w:val="32"/>
          <w:lang w:eastAsia="zh-CN"/>
        </w:rPr>
        <w:tab/>
      </w:r>
      <w:r>
        <w:rPr>
          <w:rFonts w:hint="eastAsia" w:ascii="宋体" w:hAnsi="宋体" w:cs="Arial"/>
          <w:sz w:val="32"/>
          <w:lang w:eastAsia="zh-CN"/>
        </w:rPr>
        <w:tab/>
      </w:r>
    </w:p>
    <w:p>
      <w:pPr>
        <w:spacing w:line="700" w:lineRule="exact"/>
        <w:jc w:val="center"/>
        <w:rPr>
          <w:rFonts w:hint="eastAsia" w:ascii="宋体" w:hAnsi="宋体" w:cs="Arial"/>
          <w:sz w:val="32"/>
        </w:rPr>
      </w:pPr>
    </w:p>
    <w:p>
      <w:pPr>
        <w:spacing w:line="700" w:lineRule="exact"/>
        <w:jc w:val="center"/>
        <w:rPr>
          <w:rFonts w:hint="eastAsia" w:ascii="宋体" w:hAnsi="宋体" w:cs="Arial"/>
          <w:sz w:val="32"/>
        </w:rPr>
      </w:pPr>
    </w:p>
    <w:p>
      <w:pPr>
        <w:spacing w:line="700" w:lineRule="exact"/>
        <w:ind w:firstLine="1916" w:firstLineChars="599"/>
        <w:rPr>
          <w:rFonts w:hint="eastAsia" w:ascii="宋体" w:hAnsi="宋体" w:cs="Arial" w:eastAsiaTheme="minorEastAsia"/>
          <w:color w:val="auto"/>
          <w:sz w:val="32"/>
          <w:lang w:val="en-US" w:eastAsia="zh-CN"/>
        </w:rPr>
      </w:pPr>
      <w:r>
        <w:rPr>
          <w:rFonts w:hint="eastAsia" w:ascii="宋体" w:hAnsi="宋体" w:cs="Arial"/>
          <w:color w:val="auto"/>
          <w:sz w:val="32"/>
        </w:rPr>
        <w:t>项目编号：</w:t>
      </w:r>
      <w:r>
        <w:rPr>
          <w:rFonts w:hint="eastAsia" w:ascii="宋体" w:hAnsi="宋体" w:cs="Arial"/>
          <w:color w:val="auto"/>
          <w:sz w:val="32"/>
          <w:lang w:val="en-US" w:eastAsia="zh-CN"/>
        </w:rPr>
        <w:t>内26018</w:t>
      </w:r>
      <w:r>
        <w:rPr>
          <w:rFonts w:hint="eastAsia" w:ascii="宋体" w:hAnsi="宋体" w:cs="Arial"/>
          <w:color w:val="FF0000"/>
          <w:sz w:val="32"/>
          <w:lang w:val="en-US" w:eastAsia="zh-CN"/>
        </w:rPr>
        <w:t xml:space="preserve"> </w:t>
      </w:r>
    </w:p>
    <w:p>
      <w:pPr>
        <w:spacing w:line="700" w:lineRule="exact"/>
        <w:ind w:left="3676" w:leftChars="684" w:hanging="2240" w:hangingChars="700"/>
        <w:rPr>
          <w:rFonts w:hint="eastAsia" w:ascii="宋体" w:hAnsi="宋体" w:cs="Arial"/>
          <w:sz w:val="32"/>
        </w:rPr>
      </w:pPr>
      <w:r>
        <w:rPr>
          <w:rFonts w:hint="eastAsia" w:ascii="宋体" w:hAnsi="宋体" w:cs="Arial"/>
          <w:sz w:val="32"/>
        </w:rPr>
        <w:t xml:space="preserve">   项目名称：重庆中国三峡博物馆藏品（古籍）档案整理及数字化服务   </w:t>
      </w:r>
    </w:p>
    <w:p>
      <w:pPr>
        <w:spacing w:line="700" w:lineRule="exact"/>
        <w:ind w:left="2716" w:leftChars="684" w:hanging="1280" w:hangingChars="400"/>
        <w:rPr>
          <w:rFonts w:hint="eastAsia" w:ascii="宋体" w:hAnsi="宋体" w:cs="Arial"/>
          <w:sz w:val="32"/>
        </w:rPr>
      </w:pPr>
      <w:r>
        <w:rPr>
          <w:rFonts w:hint="eastAsia" w:ascii="宋体" w:hAnsi="宋体" w:cs="Arial"/>
          <w:sz w:val="32"/>
          <w:lang w:val="en-US" w:eastAsia="zh-CN"/>
        </w:rPr>
        <w:t xml:space="preserve">   </w:t>
      </w:r>
      <w:r>
        <w:rPr>
          <w:rFonts w:hint="eastAsia" w:ascii="宋体" w:hAnsi="宋体" w:cs="Arial"/>
          <w:sz w:val="32"/>
        </w:rPr>
        <w:t>采购</w:t>
      </w:r>
      <w:r>
        <w:rPr>
          <w:rFonts w:hint="eastAsia" w:ascii="宋体" w:hAnsi="宋体" w:cs="Arial"/>
          <w:sz w:val="32"/>
          <w:lang w:eastAsia="zh-CN"/>
        </w:rPr>
        <w:t>单位</w:t>
      </w:r>
      <w:r>
        <w:rPr>
          <w:rFonts w:hint="eastAsia" w:ascii="宋体" w:hAnsi="宋体" w:cs="Arial"/>
          <w:sz w:val="32"/>
        </w:rPr>
        <w:t>：重庆中国三峡博物馆</w:t>
      </w:r>
    </w:p>
    <w:p>
      <w:pPr>
        <w:spacing w:line="700" w:lineRule="exact"/>
        <w:jc w:val="center"/>
        <w:rPr>
          <w:rFonts w:hint="eastAsia" w:ascii="宋体" w:hAnsi="宋体" w:cs="Arial"/>
          <w:sz w:val="32"/>
        </w:rPr>
      </w:pPr>
    </w:p>
    <w:p>
      <w:pPr>
        <w:spacing w:line="700" w:lineRule="exact"/>
        <w:jc w:val="both"/>
        <w:rPr>
          <w:rFonts w:hint="eastAsia" w:ascii="宋体" w:hAnsi="宋体" w:cs="Arial"/>
          <w:sz w:val="32"/>
        </w:rPr>
      </w:pPr>
    </w:p>
    <w:p>
      <w:pPr>
        <w:spacing w:line="700" w:lineRule="exact"/>
        <w:jc w:val="center"/>
        <w:rPr>
          <w:rFonts w:hint="eastAsia" w:ascii="宋体" w:hAnsi="宋体" w:cs="Arial"/>
          <w:sz w:val="32"/>
        </w:rPr>
      </w:pPr>
    </w:p>
    <w:p>
      <w:pPr>
        <w:spacing w:line="700" w:lineRule="exact"/>
        <w:jc w:val="both"/>
        <w:rPr>
          <w:rFonts w:hint="eastAsia" w:ascii="宋体" w:hAnsi="宋体" w:cs="Arial"/>
          <w:sz w:val="32"/>
        </w:rPr>
      </w:pPr>
    </w:p>
    <w:p>
      <w:pPr>
        <w:spacing w:line="700" w:lineRule="exact"/>
        <w:jc w:val="both"/>
        <w:rPr>
          <w:rFonts w:hint="eastAsia" w:ascii="宋体" w:hAnsi="宋体" w:cs="Arial"/>
          <w:sz w:val="32"/>
        </w:rPr>
      </w:pPr>
    </w:p>
    <w:p>
      <w:pPr>
        <w:spacing w:line="700" w:lineRule="exact"/>
        <w:jc w:val="center"/>
        <w:rPr>
          <w:rFonts w:hint="eastAsia" w:ascii="宋体" w:hAnsi="宋体" w:cs="Arial"/>
          <w:sz w:val="32"/>
        </w:rPr>
      </w:pPr>
      <w:r>
        <w:rPr>
          <w:rFonts w:hint="eastAsia" w:ascii="宋体" w:hAnsi="宋体" w:cs="Arial"/>
          <w:sz w:val="32"/>
        </w:rPr>
        <w:t>重庆中国三峡博物馆制</w:t>
      </w:r>
    </w:p>
    <w:p>
      <w:pPr>
        <w:spacing w:line="700" w:lineRule="exact"/>
        <w:jc w:val="center"/>
        <w:outlineLvl w:val="0"/>
        <w:rPr>
          <w:rFonts w:hint="eastAsia" w:ascii="宋体" w:hAnsi="宋体" w:eastAsia="宋体" w:cs="Arial"/>
          <w:sz w:val="36"/>
        </w:rPr>
      </w:pPr>
      <w:r>
        <w:rPr>
          <w:rFonts w:hint="eastAsia" w:ascii="宋体" w:hAnsi="宋体" w:cs="Arial"/>
          <w:sz w:val="32"/>
          <w:lang w:val="en-US" w:eastAsia="zh-CN"/>
        </w:rPr>
        <w:t xml:space="preserve"> 2026</w:t>
      </w:r>
      <w:r>
        <w:rPr>
          <w:rFonts w:hint="eastAsia" w:ascii="宋体" w:hAnsi="宋体" w:cs="Arial"/>
          <w:sz w:val="32"/>
        </w:rPr>
        <w:t>年</w:t>
      </w:r>
      <w:r>
        <w:rPr>
          <w:rFonts w:hint="eastAsia" w:ascii="宋体" w:hAnsi="宋体" w:cs="Arial"/>
          <w:sz w:val="32"/>
          <w:lang w:val="en-US" w:eastAsia="zh-CN"/>
        </w:rPr>
        <w:t>3</w:t>
      </w:r>
      <w:r>
        <w:rPr>
          <w:rFonts w:hint="eastAsia" w:ascii="宋体" w:hAnsi="宋体" w:cs="Arial"/>
          <w:sz w:val="32"/>
        </w:rPr>
        <w:t>月</w:t>
      </w:r>
      <w:bookmarkStart w:id="0" w:name="_Toc11641050"/>
      <w:bookmarkStart w:id="1" w:name="_Toc372538149"/>
      <w:bookmarkStart w:id="2" w:name="_Toc25725118"/>
    </w:p>
    <w:p>
      <w:pPr>
        <w:spacing w:line="700" w:lineRule="exact"/>
        <w:jc w:val="center"/>
        <w:outlineLvl w:val="0"/>
        <w:rPr>
          <w:rFonts w:hint="eastAsia" w:ascii="宋体" w:hAnsi="宋体" w:eastAsia="宋体" w:cs="Arial"/>
          <w:b/>
          <w:bCs/>
        </w:rPr>
      </w:pPr>
      <w:r>
        <w:rPr>
          <w:rFonts w:hint="eastAsia" w:ascii="宋体" w:hAnsi="宋体" w:eastAsia="宋体" w:cs="Arial"/>
          <w:b/>
          <w:bCs/>
          <w:sz w:val="36"/>
        </w:rPr>
        <w:t xml:space="preserve">第一篇  </w:t>
      </w:r>
      <w:bookmarkEnd w:id="0"/>
      <w:r>
        <w:rPr>
          <w:rFonts w:hint="eastAsia" w:ascii="宋体" w:hAnsi="宋体" w:eastAsia="宋体" w:cs="Arial"/>
          <w:b/>
          <w:bCs/>
          <w:sz w:val="36"/>
        </w:rPr>
        <w:t>邀请书</w:t>
      </w:r>
      <w:bookmarkEnd w:id="1"/>
      <w:bookmarkEnd w:id="2"/>
    </w:p>
    <w:p>
      <w:pPr>
        <w:spacing w:line="312" w:lineRule="auto"/>
        <w:ind w:firstLine="480" w:firstLineChars="200"/>
        <w:rPr>
          <w:rFonts w:hint="eastAsia" w:ascii="宋体" w:hAnsi="宋体" w:cs="Arial"/>
          <w:sz w:val="24"/>
          <w:szCs w:val="24"/>
        </w:rPr>
      </w:pPr>
    </w:p>
    <w:p>
      <w:pPr>
        <w:spacing w:line="312" w:lineRule="auto"/>
        <w:ind w:firstLine="480" w:firstLineChars="200"/>
        <w:rPr>
          <w:rFonts w:hint="eastAsia" w:ascii="宋体" w:hAnsi="宋体" w:cs="Arial"/>
          <w:sz w:val="24"/>
          <w:szCs w:val="24"/>
        </w:rPr>
      </w:pP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我单位现就</w:t>
      </w:r>
      <w:r>
        <w:rPr>
          <w:rFonts w:hint="eastAsia" w:asciiTheme="minorEastAsia" w:hAnsiTheme="minorEastAsia" w:eastAsiaTheme="minorEastAsia" w:cstheme="minorEastAsia"/>
          <w:sz w:val="24"/>
          <w:szCs w:val="24"/>
          <w:u w:val="single"/>
        </w:rPr>
        <w:t>重庆中国三峡博物馆藏品（古籍）档案整理及数字化服务</w:t>
      </w:r>
      <w:r>
        <w:rPr>
          <w:rFonts w:hint="eastAsia" w:asciiTheme="minorEastAsia" w:hAnsiTheme="minorEastAsia" w:eastAsiaTheme="minorEastAsia" w:cstheme="minorEastAsia"/>
          <w:sz w:val="24"/>
          <w:szCs w:val="24"/>
        </w:rPr>
        <w:t>项目进行询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采购，凡有意参加询比的供应商，请于公告发布之日起至报名截止时间之前，在</w:t>
      </w:r>
      <w:r>
        <w:rPr>
          <w:rFonts w:hint="eastAsia" w:asciiTheme="minorEastAsia" w:hAnsiTheme="minorEastAsia" w:cstheme="minorEastAsia"/>
          <w:sz w:val="24"/>
          <w:szCs w:val="24"/>
          <w:lang w:val="en-US" w:eastAsia="zh-CN"/>
        </w:rPr>
        <w:t>重庆中国三峡博物馆官网</w:t>
      </w:r>
      <w:r>
        <w:rPr>
          <w:rFonts w:hint="eastAsia" w:asciiTheme="minorEastAsia" w:hAnsiTheme="minorEastAsia" w:eastAsiaTheme="minorEastAsia" w:cstheme="minorEastAsia"/>
          <w:sz w:val="24"/>
          <w:szCs w:val="24"/>
        </w:rPr>
        <w:t>上下载查看本项目需求文件以及变更公告等询比前公布的所有项目资料，无论供应商下载查看与否，均视为已知晓所有询比实质性要求内容。</w:t>
      </w:r>
    </w:p>
    <w:p>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本项目编号</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内26018</w:t>
      </w:r>
      <w:r>
        <w:rPr>
          <w:rFonts w:hint="eastAsia" w:asciiTheme="minorEastAsia" w:hAnsiTheme="minorEastAsia" w:cstheme="minorEastAsia"/>
          <w:color w:val="FF0000"/>
          <w:sz w:val="24"/>
          <w:szCs w:val="24"/>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联系办法：</w:t>
      </w:r>
    </w:p>
    <w:p>
      <w:pPr>
        <w:keepNext w:val="0"/>
        <w:keepLines w:val="0"/>
        <w:pageBreakBefore w:val="0"/>
        <w:widowControl w:val="0"/>
        <w:kinsoku/>
        <w:wordWrap/>
        <w:overflowPunct/>
        <w:topLinePunct w:val="0"/>
        <w:autoSpaceDE/>
        <w:autoSpaceDN/>
        <w:bidi w:val="0"/>
        <w:adjustRightInd/>
        <w:snapToGrid w:val="0"/>
        <w:spacing w:line="460" w:lineRule="exact"/>
        <w:ind w:left="567"/>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采购联系人：</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李先生，02363679109,13452915399，</w:t>
      </w:r>
      <w:r>
        <w:rPr>
          <w:rFonts w:hint="eastAsia" w:asciiTheme="minorEastAsia" w:hAnsiTheme="minorEastAsia" w:eastAsiaTheme="minorEastAsia" w:cstheme="minorEastAsia"/>
          <w:sz w:val="24"/>
          <w:szCs w:val="24"/>
        </w:rPr>
        <w:t>华小姐</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15902370337</w:t>
      </w:r>
      <w:r>
        <w:rPr>
          <w:rFonts w:hint="eastAsia" w:asciiTheme="minorEastAsia" w:hAnsi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460" w:lineRule="exact"/>
        <w:ind w:left="567"/>
        <w:textAlignment w:val="auto"/>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   项目联系人：</w:t>
      </w:r>
      <w:r>
        <w:rPr>
          <w:rFonts w:hint="eastAsia" w:asciiTheme="minorEastAsia" w:hAnsiTheme="minorEastAsia" w:cstheme="minorEastAsia"/>
          <w:color w:val="auto"/>
          <w:sz w:val="24"/>
          <w:szCs w:val="24"/>
          <w:lang w:val="en-US" w:eastAsia="zh-CN"/>
        </w:rPr>
        <w:t>甘小姐 13983950808</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联系时间周一至周五上午9点半至11点半，下午14点至16点30分）。</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left="567" w:leftChars="0"/>
        <w:textAlignment w:val="auto"/>
        <w:rPr>
          <w:rFonts w:hint="eastAsia" w:asciiTheme="minorEastAsia" w:hAnsiTheme="minorEastAsia" w:eastAsiaTheme="minorEastAsia" w:cstheme="minorEastAsia"/>
          <w:color w:val="auto"/>
          <w:sz w:val="24"/>
          <w:szCs w:val="24"/>
        </w:rPr>
      </w:pPr>
    </w:p>
    <w:p>
      <w:pPr>
        <w:numPr>
          <w:ilvl w:val="0"/>
          <w:numId w:val="0"/>
        </w:numPr>
        <w:snapToGrid w:val="0"/>
        <w:spacing w:line="560" w:lineRule="atLeast"/>
        <w:ind w:left="567" w:leftChars="0"/>
        <w:rPr>
          <w:rFonts w:hint="eastAsia" w:ascii="宋体" w:hAnsi="宋体" w:cs="Arial"/>
          <w:color w:val="auto"/>
          <w:sz w:val="24"/>
          <w:szCs w:val="24"/>
          <w:lang w:eastAsia="zh-CN"/>
        </w:rPr>
      </w:pPr>
    </w:p>
    <w:p>
      <w:pPr>
        <w:snapToGrid w:val="0"/>
        <w:spacing w:line="560" w:lineRule="atLeast"/>
        <w:rPr>
          <w:rFonts w:hint="eastAsia" w:ascii="宋体" w:hAnsi="宋体" w:cs="Arial"/>
          <w:sz w:val="24"/>
          <w:szCs w:val="24"/>
        </w:rPr>
      </w:pPr>
      <w:r>
        <w:rPr>
          <w:rFonts w:hint="eastAsia" w:ascii="宋体" w:hAnsi="宋体" w:cs="Arial"/>
          <w:sz w:val="24"/>
          <w:szCs w:val="24"/>
        </w:rPr>
        <w:t xml:space="preserve">    </w:t>
      </w:r>
    </w:p>
    <w:p>
      <w:pPr>
        <w:pStyle w:val="3"/>
        <w:jc w:val="center"/>
        <w:rPr>
          <w:rFonts w:hint="eastAsia" w:ascii="宋体" w:hAnsi="宋体" w:eastAsia="宋体" w:cs="Arial"/>
          <w:sz w:val="36"/>
        </w:rPr>
      </w:pPr>
      <w:r>
        <w:rPr>
          <w:rFonts w:hint="eastAsia" w:ascii="宋体" w:hAnsi="宋体" w:eastAsia="宋体" w:cs="Arial"/>
          <w:b w:val="0"/>
          <w:sz w:val="28"/>
        </w:rPr>
        <w:br w:type="page"/>
      </w:r>
      <w:bookmarkStart w:id="3" w:name="_Toc372538150"/>
      <w:r>
        <w:rPr>
          <w:rFonts w:hint="eastAsia" w:ascii="宋体" w:hAnsi="宋体" w:eastAsia="宋体" w:cs="Arial"/>
          <w:sz w:val="36"/>
        </w:rPr>
        <w:t xml:space="preserve">第二篇  </w:t>
      </w:r>
      <w:r>
        <w:rPr>
          <w:rFonts w:hint="eastAsia" w:ascii="宋体" w:hAnsi="宋体" w:eastAsia="宋体" w:cs="Arial"/>
          <w:sz w:val="36"/>
          <w:lang w:eastAsia="zh-CN"/>
        </w:rPr>
        <w:t>投标</w:t>
      </w:r>
      <w:r>
        <w:rPr>
          <w:rFonts w:hint="eastAsia" w:ascii="宋体" w:hAnsi="宋体" w:eastAsia="宋体" w:cs="Arial"/>
          <w:sz w:val="36"/>
        </w:rPr>
        <w:t>须知</w:t>
      </w:r>
      <w:bookmarkEnd w:id="3"/>
    </w:p>
    <w:p>
      <w:pPr>
        <w:pStyle w:val="4"/>
        <w:pageBreakBefore w:val="0"/>
        <w:kinsoku/>
        <w:wordWrap/>
        <w:overflowPunct/>
        <w:topLinePunct w:val="0"/>
        <w:autoSpaceDE/>
        <w:autoSpaceDN/>
        <w:bidi w:val="0"/>
        <w:adjustRightInd/>
        <w:spacing w:line="460" w:lineRule="exact"/>
        <w:ind w:firstLine="527"/>
        <w:textAlignment w:val="auto"/>
        <w:rPr>
          <w:rFonts w:hint="eastAsia" w:asciiTheme="minorEastAsia" w:hAnsiTheme="minorEastAsia" w:eastAsiaTheme="minorEastAsia" w:cstheme="minorEastAsia"/>
          <w:sz w:val="24"/>
          <w:szCs w:val="24"/>
        </w:rPr>
      </w:pPr>
      <w:bookmarkStart w:id="4" w:name="_Toc372538151"/>
      <w:r>
        <w:rPr>
          <w:rFonts w:hint="eastAsia" w:asciiTheme="minorEastAsia" w:hAnsiTheme="minorEastAsia" w:eastAsiaTheme="minorEastAsia" w:cstheme="minorEastAsia"/>
          <w:sz w:val="24"/>
          <w:szCs w:val="24"/>
        </w:rPr>
        <w:t>一、询</w:t>
      </w:r>
      <w:r>
        <w:rPr>
          <w:rFonts w:hint="eastAsia" w:asciiTheme="minorEastAsia" w:hAnsiTheme="minorEastAsia" w:eastAsiaTheme="minorEastAsia" w:cstheme="minorEastAsia"/>
          <w:sz w:val="24"/>
          <w:szCs w:val="24"/>
          <w:lang w:val="en-US" w:eastAsia="zh-CN"/>
        </w:rPr>
        <w:t>比</w:t>
      </w:r>
      <w:r>
        <w:rPr>
          <w:rFonts w:hint="eastAsia" w:asciiTheme="minorEastAsia" w:hAnsiTheme="minorEastAsia" w:eastAsiaTheme="minorEastAsia" w:cstheme="minorEastAsia"/>
          <w:sz w:val="24"/>
          <w:szCs w:val="24"/>
        </w:rPr>
        <w:t>费用</w:t>
      </w:r>
      <w:bookmarkEnd w:id="4"/>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参与</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标的供应商应承担其编制</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标文件与递交</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标文件所涉及的一切费用，不论采购结果如何，采购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在任何情况下无义务也无责任承担这些费用。</w:t>
      </w:r>
    </w:p>
    <w:p>
      <w:pPr>
        <w:pStyle w:val="4"/>
        <w:pageBreakBefore w:val="0"/>
        <w:kinsoku/>
        <w:wordWrap/>
        <w:overflowPunct/>
        <w:topLinePunct w:val="0"/>
        <w:autoSpaceDE/>
        <w:autoSpaceDN/>
        <w:bidi w:val="0"/>
        <w:adjustRightInd/>
        <w:spacing w:line="460" w:lineRule="exact"/>
        <w:ind w:firstLine="527"/>
        <w:textAlignment w:val="auto"/>
        <w:rPr>
          <w:rFonts w:hint="eastAsia" w:asciiTheme="minorEastAsia" w:hAnsiTheme="minorEastAsia" w:eastAsiaTheme="minorEastAsia" w:cstheme="minorEastAsia"/>
          <w:sz w:val="24"/>
          <w:szCs w:val="24"/>
        </w:rPr>
      </w:pPr>
      <w:bookmarkStart w:id="5" w:name="_Toc372538152"/>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资质</w:t>
      </w:r>
      <w:bookmarkEnd w:id="5"/>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参与</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标的供应商是指向采购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提供货物、工程或者服务的法人、其他组织或者自然人，简称供应商或</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w:t>
      </w:r>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合格的</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应符合下列资格条件：</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3、具有履行合同所必须的设备和专业技术能力；</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4、有依法缴纳税收的良好记录；</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5、参加政府采购活动近三年内，在经营活动中没有重大违法记录；</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6、法律、行政法规规定的其他条件</w:t>
      </w:r>
      <w:r>
        <w:rPr>
          <w:rFonts w:hint="eastAsia" w:asciiTheme="minorEastAsia" w:hAnsiTheme="minorEastAsia" w:cstheme="minorEastAsia"/>
          <w:sz w:val="24"/>
          <w:szCs w:val="24"/>
          <w:lang w:eastAsia="zh-CN"/>
        </w:rPr>
        <w:t>。</w:t>
      </w:r>
    </w:p>
    <w:p>
      <w:pPr>
        <w:pStyle w:val="4"/>
        <w:pageBreakBefore w:val="0"/>
        <w:numPr>
          <w:ilvl w:val="0"/>
          <w:numId w:val="2"/>
        </w:numPr>
        <w:kinsoku/>
        <w:wordWrap/>
        <w:overflowPunct/>
        <w:topLinePunct w:val="0"/>
        <w:autoSpaceDE/>
        <w:autoSpaceDN/>
        <w:bidi w:val="0"/>
        <w:adjustRightInd/>
        <w:spacing w:line="460" w:lineRule="exact"/>
        <w:ind w:firstLine="527"/>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现场踏勘</w:t>
      </w:r>
    </w:p>
    <w:p>
      <w:pPr>
        <w:pageBreakBefore w:val="0"/>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自行踏勘</w:t>
      </w:r>
      <w:r>
        <w:rPr>
          <w:rFonts w:hint="eastAsia" w:asciiTheme="minorEastAsia" w:hAnsiTheme="minorEastAsia" w:eastAsiaTheme="minorEastAsia" w:cstheme="minorEastAsia"/>
          <w:sz w:val="24"/>
          <w:szCs w:val="24"/>
          <w:lang w:val="en-US" w:eastAsia="zh-CN"/>
        </w:rPr>
        <w:t>,  项目联系人：</w:t>
      </w:r>
      <w:r>
        <w:rPr>
          <w:rFonts w:hint="eastAsia" w:asciiTheme="minorEastAsia" w:hAnsiTheme="minorEastAsia" w:cstheme="minorEastAsia"/>
          <w:color w:val="auto"/>
          <w:sz w:val="24"/>
          <w:szCs w:val="24"/>
          <w:lang w:val="en-US" w:eastAsia="zh-CN"/>
        </w:rPr>
        <w:t>甘小姐 13983950808</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联系时间周一至周五，上午9点半至11点半，下午14点至16点30分）</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如投标单位参与投标，采购单位视为已清楚本项目现场情况。</w:t>
      </w:r>
    </w:p>
    <w:p>
      <w:pPr>
        <w:pStyle w:val="4"/>
        <w:pageBreakBefore w:val="0"/>
        <w:kinsoku/>
        <w:wordWrap/>
        <w:overflowPunct/>
        <w:topLinePunct w:val="0"/>
        <w:autoSpaceDE/>
        <w:autoSpaceDN/>
        <w:bidi w:val="0"/>
        <w:adjustRightInd/>
        <w:spacing w:line="460" w:lineRule="exact"/>
        <w:ind w:firstLine="527"/>
        <w:textAlignment w:val="auto"/>
        <w:rPr>
          <w:rFonts w:hint="eastAsia" w:asciiTheme="minorEastAsia" w:hAnsiTheme="minorEastAsia" w:eastAsiaTheme="minorEastAsia" w:cstheme="minorEastAsia"/>
          <w:sz w:val="24"/>
          <w:szCs w:val="24"/>
        </w:rPr>
      </w:pPr>
      <w:bookmarkStart w:id="6" w:name="_Toc179714296"/>
      <w:bookmarkStart w:id="7" w:name="_Toc102227317"/>
      <w:bookmarkStart w:id="8" w:name="_Toc187655629"/>
      <w:bookmarkStart w:id="9" w:name="_Toc372538153"/>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采购文件</w:t>
      </w:r>
      <w:bookmarkEnd w:id="6"/>
      <w:bookmarkEnd w:id="7"/>
      <w:bookmarkEnd w:id="8"/>
      <w:bookmarkEnd w:id="9"/>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1、询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文件由邀请书、</w:t>
      </w: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sz w:val="24"/>
          <w:szCs w:val="24"/>
        </w:rPr>
        <w:t>须知、采购项目技术要求、商务要求</w:t>
      </w:r>
      <w:r>
        <w:rPr>
          <w:rFonts w:hint="eastAsia" w:asciiTheme="minorEastAsia" w:hAnsiTheme="minorEastAsia" w:eastAsiaTheme="minorEastAsia" w:cstheme="minorEastAsia"/>
          <w:sz w:val="24"/>
          <w:szCs w:val="24"/>
          <w:lang w:eastAsia="zh-CN"/>
        </w:rPr>
        <w:t>、合同关键条款</w:t>
      </w:r>
      <w:r>
        <w:rPr>
          <w:rFonts w:hint="eastAsia" w:asciiTheme="minorEastAsia" w:hAnsiTheme="minorEastAsia" w:eastAsiaTheme="minorEastAsia" w:cstheme="minorEastAsia"/>
          <w:sz w:val="24"/>
          <w:szCs w:val="24"/>
        </w:rPr>
        <w:t>和供应商编制响应文件要求六部分组成。</w:t>
      </w:r>
    </w:p>
    <w:p>
      <w:pPr>
        <w:pageBreakBefore w:val="0"/>
        <w:kinsoku/>
        <w:wordWrap/>
        <w:overflowPunct/>
        <w:topLinePunct w:val="0"/>
        <w:autoSpaceDE/>
        <w:autoSpaceDN/>
        <w:bidi w:val="0"/>
        <w:adjustRightInd/>
        <w:snapToGrid w:val="0"/>
        <w:spacing w:line="46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所作的一切有效的</w:t>
      </w:r>
      <w:r>
        <w:rPr>
          <w:rFonts w:hint="eastAsia" w:asciiTheme="minorEastAsia" w:hAnsiTheme="minorEastAsia" w:eastAsiaTheme="minorEastAsia" w:cstheme="minorEastAsia"/>
          <w:sz w:val="24"/>
          <w:szCs w:val="24"/>
          <w:lang w:eastAsia="zh-CN"/>
        </w:rPr>
        <w:t>公告、</w:t>
      </w:r>
      <w:r>
        <w:rPr>
          <w:rFonts w:hint="eastAsia" w:asciiTheme="minorEastAsia" w:hAnsiTheme="minorEastAsia" w:eastAsiaTheme="minorEastAsia" w:cstheme="minorEastAsia"/>
          <w:sz w:val="24"/>
          <w:szCs w:val="24"/>
        </w:rPr>
        <w:t>书面通知、修改及补充，都是询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文件不可分割的部分。</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3、采购文件的解释</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eastAsia="zh-CN"/>
        </w:rPr>
        <w:t>投</w:t>
      </w:r>
      <w:r>
        <w:rPr>
          <w:rFonts w:hint="eastAsia" w:asciiTheme="minorEastAsia" w:hAnsiTheme="minorEastAsia" w:eastAsiaTheme="minorEastAsia" w:cstheme="minorEastAsia"/>
          <w:color w:val="auto"/>
          <w:sz w:val="24"/>
          <w:szCs w:val="24"/>
        </w:rPr>
        <w:t>标</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rPr>
        <w:t>如对询</w:t>
      </w:r>
      <w:r>
        <w:rPr>
          <w:rFonts w:hint="eastAsia" w:asciiTheme="minorEastAsia" w:hAnsiTheme="minorEastAsia" w:eastAsiaTheme="minorEastAsia" w:cstheme="minorEastAsia"/>
          <w:color w:val="auto"/>
          <w:sz w:val="24"/>
          <w:szCs w:val="24"/>
          <w:lang w:eastAsia="zh-CN"/>
        </w:rPr>
        <w:t>比</w:t>
      </w:r>
      <w:r>
        <w:rPr>
          <w:rFonts w:hint="eastAsia" w:asciiTheme="minorEastAsia" w:hAnsiTheme="minorEastAsia" w:eastAsiaTheme="minorEastAsia" w:cstheme="minorEastAsia"/>
          <w:color w:val="auto"/>
          <w:sz w:val="24"/>
          <w:szCs w:val="24"/>
        </w:rPr>
        <w:t>文件有疑问，必须以书面形式在</w:t>
      </w:r>
      <w:r>
        <w:rPr>
          <w:rFonts w:hint="eastAsia" w:asciiTheme="minorEastAsia" w:hAnsiTheme="minorEastAsia" w:eastAsiaTheme="minorEastAsia" w:cstheme="minorEastAsia"/>
          <w:color w:val="auto"/>
          <w:sz w:val="24"/>
          <w:szCs w:val="24"/>
          <w:lang w:eastAsia="zh-CN"/>
        </w:rPr>
        <w:t>递交投标文件</w:t>
      </w:r>
      <w:r>
        <w:rPr>
          <w:rFonts w:hint="eastAsia" w:asciiTheme="minorEastAsia" w:hAnsiTheme="minorEastAsia" w:eastAsiaTheme="minorEastAsia" w:cstheme="minorEastAsia"/>
          <w:color w:val="auto"/>
          <w:sz w:val="24"/>
          <w:szCs w:val="24"/>
        </w:rPr>
        <w:t>截止时间一个工作日前向采购</w:t>
      </w:r>
      <w:r>
        <w:rPr>
          <w:rFonts w:hint="eastAsia" w:asciiTheme="minorEastAsia" w:hAnsiTheme="minorEastAsia" w:eastAsiaTheme="minorEastAsia" w:cstheme="minorEastAsia"/>
          <w:color w:val="auto"/>
          <w:sz w:val="24"/>
          <w:szCs w:val="24"/>
          <w:lang w:eastAsia="zh-CN"/>
        </w:rPr>
        <w:t>单位</w:t>
      </w:r>
      <w:r>
        <w:rPr>
          <w:rFonts w:hint="eastAsia" w:asciiTheme="minorEastAsia" w:hAnsiTheme="minorEastAsia" w:eastAsiaTheme="minorEastAsia" w:cstheme="minorEastAsia"/>
          <w:color w:val="auto"/>
          <w:sz w:val="24"/>
          <w:szCs w:val="24"/>
        </w:rPr>
        <w:t>要求澄清，</w:t>
      </w: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可视具体情况做出处理或答复</w:t>
      </w:r>
      <w:r>
        <w:rPr>
          <w:rFonts w:hint="eastAsia" w:asciiTheme="minorEastAsia" w:hAnsiTheme="minorEastAsia" w:eastAsiaTheme="minorEastAsia" w:cstheme="minorEastAsia"/>
          <w:sz w:val="24"/>
          <w:szCs w:val="24"/>
          <w:lang w:eastAsia="zh-CN"/>
        </w:rPr>
        <w:t>，处理或者答复发布在</w:t>
      </w:r>
      <w:r>
        <w:rPr>
          <w:rFonts w:hint="eastAsia" w:asciiTheme="minorEastAsia" w:hAnsiTheme="minorEastAsia" w:cstheme="minorEastAsia"/>
          <w:sz w:val="24"/>
          <w:szCs w:val="24"/>
          <w:lang w:val="en-US" w:eastAsia="zh-CN"/>
        </w:rPr>
        <w:t>重庆中国三峡博物馆官网</w:t>
      </w:r>
      <w:r>
        <w:rPr>
          <w:rFonts w:hint="eastAsia" w:asciiTheme="minorEastAsia" w:hAnsiTheme="minorEastAsia" w:eastAsiaTheme="minorEastAsia" w:cstheme="minorEastAsia"/>
          <w:sz w:val="24"/>
          <w:szCs w:val="24"/>
          <w:lang w:eastAsia="zh-CN"/>
        </w:rPr>
        <w:t>上。</w:t>
      </w:r>
      <w:r>
        <w:rPr>
          <w:rFonts w:hint="eastAsia" w:asciiTheme="minorEastAsia" w:hAnsiTheme="minorEastAsia" w:eastAsiaTheme="minorEastAsia" w:cstheme="minorEastAsia"/>
          <w:sz w:val="24"/>
          <w:szCs w:val="24"/>
        </w:rPr>
        <w:t>如</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未提出疑问</w:t>
      </w:r>
      <w:r>
        <w:rPr>
          <w:rFonts w:hint="eastAsia" w:asciiTheme="minorEastAsia" w:hAnsiTheme="minorEastAsia" w:eastAsiaTheme="minorEastAsia" w:cstheme="minorEastAsia"/>
          <w:sz w:val="24"/>
          <w:szCs w:val="24"/>
          <w:lang w:eastAsia="zh-CN"/>
        </w:rPr>
        <w:t>或者未按前述要求提出</w:t>
      </w:r>
      <w:r>
        <w:rPr>
          <w:rFonts w:hint="eastAsia" w:asciiTheme="minorEastAsia" w:hAnsiTheme="minorEastAsia" w:eastAsiaTheme="minorEastAsia" w:cstheme="minorEastAsia"/>
          <w:sz w:val="24"/>
          <w:szCs w:val="24"/>
        </w:rPr>
        <w:t>，视为完全理解并同意本采购文件，即</w:t>
      </w:r>
      <w:r>
        <w:rPr>
          <w:rFonts w:hint="eastAsia" w:asciiTheme="minorEastAsia" w:hAnsiTheme="minorEastAsia" w:eastAsiaTheme="minorEastAsia" w:cstheme="minorEastAsia"/>
          <w:sz w:val="24"/>
          <w:szCs w:val="24"/>
          <w:lang w:eastAsia="zh-CN"/>
        </w:rPr>
        <w:t>投</w:t>
      </w:r>
      <w:r>
        <w:rPr>
          <w:rFonts w:hint="eastAsia" w:asciiTheme="minorEastAsia" w:hAnsiTheme="minorEastAsia" w:eastAsiaTheme="minorEastAsia" w:cstheme="minorEastAsia"/>
          <w:sz w:val="24"/>
          <w:szCs w:val="24"/>
        </w:rPr>
        <w:t>标</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已详细阅读全部文件资料，完全理解</w:t>
      </w:r>
      <w:r>
        <w:rPr>
          <w:rFonts w:hint="eastAsia" w:asciiTheme="minorEastAsia" w:hAnsiTheme="minorEastAsia" w:eastAsiaTheme="minorEastAsia" w:cstheme="minorEastAsia"/>
          <w:sz w:val="24"/>
          <w:szCs w:val="24"/>
          <w:lang w:eastAsia="zh-CN"/>
        </w:rPr>
        <w:t>本</w:t>
      </w:r>
      <w:r>
        <w:rPr>
          <w:rFonts w:hint="eastAsia" w:asciiTheme="minorEastAsia" w:hAnsiTheme="minorEastAsia" w:eastAsiaTheme="minorEastAsia" w:cstheme="minorEastAsia"/>
          <w:sz w:val="24"/>
          <w:szCs w:val="24"/>
        </w:rPr>
        <w:t>询</w:t>
      </w:r>
      <w:r>
        <w:rPr>
          <w:rFonts w:hint="eastAsia" w:asciiTheme="minorEastAsia" w:hAnsiTheme="minorEastAsia" w:eastAsiaTheme="minorEastAsia" w:cstheme="minorEastAsia"/>
          <w:sz w:val="24"/>
          <w:szCs w:val="24"/>
          <w:lang w:eastAsia="zh-CN"/>
        </w:rPr>
        <w:t>比</w:t>
      </w:r>
      <w:r>
        <w:rPr>
          <w:rFonts w:hint="eastAsia" w:asciiTheme="minorEastAsia" w:hAnsiTheme="minorEastAsia" w:eastAsiaTheme="minorEastAsia" w:cstheme="minorEastAsia"/>
          <w:sz w:val="24"/>
          <w:szCs w:val="24"/>
        </w:rPr>
        <w:t>文件所有条款内容并同意放弃对这方面有不明白及误解的权利。</w:t>
      </w:r>
    </w:p>
    <w:p>
      <w:pPr>
        <w:pStyle w:val="4"/>
        <w:pageBreakBefore w:val="0"/>
        <w:kinsoku/>
        <w:wordWrap/>
        <w:overflowPunct/>
        <w:topLinePunct w:val="0"/>
        <w:autoSpaceDE/>
        <w:autoSpaceDN/>
        <w:bidi w:val="0"/>
        <w:adjustRightInd/>
        <w:spacing w:line="460" w:lineRule="exact"/>
        <w:ind w:firstLine="527"/>
        <w:textAlignment w:val="auto"/>
        <w:rPr>
          <w:rFonts w:hint="eastAsia" w:asciiTheme="minorEastAsia" w:hAnsiTheme="minorEastAsia" w:eastAsiaTheme="minorEastAsia" w:cstheme="minorEastAsia"/>
          <w:sz w:val="24"/>
          <w:szCs w:val="24"/>
        </w:rPr>
      </w:pPr>
      <w:bookmarkStart w:id="10" w:name="_Toc372538154"/>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响应文件</w:t>
      </w:r>
      <w:r>
        <w:rPr>
          <w:rFonts w:hint="eastAsia" w:asciiTheme="minorEastAsia" w:hAnsiTheme="minorEastAsia" w:eastAsiaTheme="minorEastAsia" w:cstheme="minorEastAsia"/>
          <w:sz w:val="24"/>
          <w:szCs w:val="24"/>
        </w:rPr>
        <w:t>要求</w:t>
      </w:r>
      <w:bookmarkEnd w:id="10"/>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auto"/>
          <w:sz w:val="24"/>
          <w:szCs w:val="24"/>
        </w:rPr>
        <w:t>（一）响应文件由以下部分组成，包括：</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1、资格文件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 营业执照或者法人证书复印件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 法定代表人身份证明书（格式，法定代表人参与投标）或者法定代表人授权委托书（格式，被授权人参与投标）</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（3）诚信声明书</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2、技术文件</w:t>
      </w:r>
    </w:p>
    <w:p>
      <w:pPr>
        <w:pageBreakBefore w:val="0"/>
        <w:kinsoku/>
        <w:wordWrap/>
        <w:overflowPunct/>
        <w:topLinePunct w:val="0"/>
        <w:autoSpaceDE/>
        <w:autoSpaceDN/>
        <w:bidi w:val="0"/>
        <w:adjustRightInd/>
        <w:snapToGrid w:val="0"/>
        <w:spacing w:line="460" w:lineRule="exact"/>
        <w:ind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服务部分</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w:t>
      </w:r>
      <w:r>
        <w:rPr>
          <w:rFonts w:hint="eastAsia" w:asciiTheme="minorEastAsia" w:hAnsiTheme="minorEastAsia" w:cstheme="minorEastAsia"/>
          <w:color w:val="auto"/>
          <w:sz w:val="24"/>
          <w:szCs w:val="24"/>
          <w:lang w:val="en-US" w:eastAsia="zh-CN"/>
        </w:rPr>
        <w:t>类似</w:t>
      </w:r>
      <w:r>
        <w:rPr>
          <w:rFonts w:hint="eastAsia" w:asciiTheme="minorEastAsia" w:hAnsiTheme="minorEastAsia" w:eastAsiaTheme="minorEastAsia" w:cstheme="minorEastAsia"/>
          <w:color w:val="auto"/>
          <w:sz w:val="24"/>
          <w:szCs w:val="24"/>
        </w:rPr>
        <w:t>业绩</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3、经济文件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（1）报价函</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（2</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明细报价表</w:t>
      </w:r>
      <w:r>
        <w:rPr>
          <w:rFonts w:hint="eastAsia" w:asciiTheme="minorEastAsia" w:hAnsiTheme="minorEastAsia" w:eastAsiaTheme="minorEastAsia" w:cstheme="minorEastAsia"/>
          <w:color w:val="auto"/>
          <w:sz w:val="24"/>
          <w:szCs w:val="24"/>
        </w:rPr>
        <w:t xml:space="preserve">  </w:t>
      </w:r>
    </w:p>
    <w:p>
      <w:pPr>
        <w:pageBreakBefore w:val="0"/>
        <w:kinsoku/>
        <w:wordWrap/>
        <w:overflowPunct/>
        <w:topLinePunct w:val="0"/>
        <w:autoSpaceDE/>
        <w:autoSpaceDN/>
        <w:bidi w:val="0"/>
        <w:adjustRightInd/>
        <w:snapToGrid w:val="0"/>
        <w:spacing w:line="460" w:lineRule="exact"/>
        <w:ind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4、其他文件（不作为必要要件）</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投标单位提供与评分有关的内容或者投标单位认为需要提供的其他文件</w:t>
      </w:r>
    </w:p>
    <w:p>
      <w:pPr>
        <w:pStyle w:val="4"/>
        <w:pageBreakBefore w:val="0"/>
        <w:numPr>
          <w:ilvl w:val="0"/>
          <w:numId w:val="3"/>
        </w:numPr>
        <w:tabs>
          <w:tab w:val="left" w:pos="777"/>
          <w:tab w:val="left" w:pos="852"/>
        </w:tabs>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以上响应文件由投标单位以</w:t>
      </w:r>
      <w:r>
        <w:rPr>
          <w:rFonts w:hint="eastAsia" w:asciiTheme="minorEastAsia" w:hAnsiTheme="minorEastAsia" w:eastAsiaTheme="minorEastAsia" w:cstheme="minorEastAsia"/>
          <w:color w:val="FF0000"/>
          <w:sz w:val="24"/>
          <w:szCs w:val="24"/>
        </w:rPr>
        <w:t>PDF格式</w:t>
      </w:r>
      <w:r>
        <w:rPr>
          <w:rFonts w:hint="eastAsia" w:asciiTheme="minorEastAsia" w:hAnsiTheme="minorEastAsia" w:eastAsiaTheme="minorEastAsia" w:cstheme="minorEastAsia"/>
          <w:sz w:val="24"/>
          <w:szCs w:val="24"/>
        </w:rPr>
        <w:t>上传。</w:t>
      </w:r>
    </w:p>
    <w:p>
      <w:pPr>
        <w:pStyle w:val="4"/>
        <w:pageBreakBefore w:val="0"/>
        <w:numPr>
          <w:ilvl w:val="0"/>
          <w:numId w:val="0"/>
        </w:numPr>
        <w:tabs>
          <w:tab w:val="left" w:pos="777"/>
          <w:tab w:val="left" w:pos="852"/>
        </w:tabs>
        <w:kinsoku/>
        <w:wordWrap/>
        <w:overflowPunct/>
        <w:topLinePunct w:val="0"/>
        <w:autoSpaceDE/>
        <w:autoSpaceDN/>
        <w:bidi w:val="0"/>
        <w:adjustRightInd/>
        <w:spacing w:line="460" w:lineRule="exact"/>
        <w:ind w:firstLine="482"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六、响应文件的真实性</w:t>
      </w:r>
    </w:p>
    <w:p>
      <w:pPr>
        <w:pStyle w:val="10"/>
        <w:pageBreakBefore w:val="0"/>
        <w:shd w:val="clear" w:color="auto" w:fill="FFFFFF"/>
        <w:kinsoku/>
        <w:wordWrap/>
        <w:overflowPunct/>
        <w:topLinePunct w:val="0"/>
        <w:autoSpaceDE/>
        <w:autoSpaceDN/>
        <w:bidi w:val="0"/>
        <w:adjustRightInd/>
        <w:spacing w:before="0" w:beforeAutospacing="0" w:after="0" w:afterAutospacing="0" w:line="460" w:lineRule="exact"/>
        <w:ind w:right="30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投标单位提供的投标材料要求真实可靠，采购单位可对投标材料真实性进行核查，如有虚假，采购单位取消中标单位中标资格或者与中标单位解除合同。中标单位赔偿由此造成采购单位的损失。</w:t>
      </w:r>
    </w:p>
    <w:p>
      <w:pPr>
        <w:pStyle w:val="4"/>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bookmarkStart w:id="11" w:name="_Toc372538155"/>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sz w:val="24"/>
          <w:szCs w:val="24"/>
        </w:rPr>
        <w:t>报价</w:t>
      </w:r>
      <w:bookmarkEnd w:id="11"/>
    </w:p>
    <w:p>
      <w:pPr>
        <w:pageBreakBefore w:val="0"/>
        <w:numPr>
          <w:ilvl w:val="0"/>
          <w:numId w:val="4"/>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最高限价：</w:t>
      </w:r>
    </w:p>
    <w:p>
      <w:pPr>
        <w:pageBreakBefore w:val="0"/>
        <w:numPr>
          <w:ilvl w:val="0"/>
          <w:numId w:val="0"/>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本项目最高限价（采购预</w:t>
      </w:r>
      <w:r>
        <w:rPr>
          <w:rFonts w:hint="eastAsia" w:asciiTheme="minorEastAsia" w:hAnsiTheme="minorEastAsia" w:eastAsiaTheme="minorEastAsia" w:cstheme="minorEastAsia"/>
          <w:color w:val="auto"/>
          <w:sz w:val="24"/>
          <w:szCs w:val="24"/>
          <w:lang w:val="en-US" w:eastAsia="zh-CN"/>
        </w:rPr>
        <w:t>算）：人民币</w:t>
      </w:r>
      <w:r>
        <w:rPr>
          <w:rFonts w:hint="eastAsia" w:asciiTheme="minorEastAsia" w:hAnsiTheme="minorEastAsia" w:cstheme="minorEastAsia"/>
          <w:color w:val="auto"/>
          <w:sz w:val="24"/>
          <w:szCs w:val="24"/>
          <w:u w:val="single"/>
          <w:lang w:val="en-US" w:eastAsia="zh-CN"/>
        </w:rPr>
        <w:t>16</w:t>
      </w:r>
      <w:r>
        <w:rPr>
          <w:rFonts w:hint="eastAsia" w:asciiTheme="minorEastAsia" w:hAnsiTheme="minorEastAsia" w:eastAsiaTheme="minorEastAsia" w:cstheme="minorEastAsia"/>
          <w:color w:val="auto"/>
          <w:sz w:val="24"/>
          <w:szCs w:val="24"/>
          <w:u w:val="single"/>
          <w:lang w:val="en-US" w:eastAsia="zh-CN"/>
        </w:rPr>
        <w:t>0000.00</w:t>
      </w:r>
      <w:r>
        <w:rPr>
          <w:rFonts w:hint="eastAsia" w:asciiTheme="minorEastAsia" w:hAnsiTheme="minorEastAsia" w:eastAsiaTheme="minorEastAsia" w:cstheme="minorEastAsia"/>
          <w:color w:val="auto"/>
          <w:sz w:val="24"/>
          <w:szCs w:val="24"/>
          <w:lang w:val="en-US" w:eastAsia="zh-CN"/>
        </w:rPr>
        <w:t>元。</w:t>
      </w:r>
    </w:p>
    <w:p>
      <w:pPr>
        <w:pageBreakBefore w:val="0"/>
        <w:numPr>
          <w:ilvl w:val="0"/>
          <w:numId w:val="4"/>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2" w:name="_Toc372538156"/>
      <w:r>
        <w:rPr>
          <w:rFonts w:hint="eastAsia" w:asciiTheme="minorEastAsia" w:hAnsiTheme="minorEastAsia" w:eastAsiaTheme="minorEastAsia" w:cstheme="minorEastAsia"/>
          <w:color w:val="000000" w:themeColor="text1"/>
          <w:sz w:val="24"/>
          <w:szCs w:val="24"/>
          <w14:textFill>
            <w14:solidFill>
              <w14:schemeClr w14:val="tx1"/>
            </w14:solidFill>
          </w14:textFill>
        </w:rPr>
        <w:t>报价要求</w:t>
      </w:r>
    </w:p>
    <w:p>
      <w:pPr>
        <w:pageBreakBefore w:val="0"/>
        <w:kinsoku/>
        <w:wordWrap/>
        <w:overflowPunct/>
        <w:topLinePunct w:val="0"/>
        <w:autoSpaceDE/>
        <w:autoSpaceDN/>
        <w:bidi w:val="0"/>
        <w:adjustRightInd/>
        <w:snapToGrid w:val="0"/>
        <w:spacing w:line="460" w:lineRule="exact"/>
        <w:ind w:firstLine="48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投标报价应为投标单位在采购单位所在地完成本项目全部内容的完整报价，包括但不限于：</w:t>
      </w:r>
      <w:bookmarkStart w:id="43" w:name="_GoBack"/>
      <w:r>
        <w:rPr>
          <w:rFonts w:hint="eastAsia" w:asciiTheme="minorEastAsia" w:hAnsiTheme="minorEastAsia" w:cstheme="minorEastAsia"/>
          <w:color w:val="auto"/>
          <w:sz w:val="24"/>
          <w:szCs w:val="24"/>
          <w:lang w:val="en-US" w:eastAsia="zh-CN"/>
        </w:rPr>
        <w:t>数字化服务费</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专家费</w:t>
      </w:r>
      <w:r>
        <w:rPr>
          <w:rFonts w:hint="eastAsia" w:asciiTheme="minorEastAsia" w:hAnsiTheme="minorEastAsia" w:eastAsiaTheme="minorEastAsia" w:cstheme="minorEastAsia"/>
          <w:color w:val="auto"/>
          <w:sz w:val="24"/>
          <w:szCs w:val="24"/>
        </w:rPr>
        <w:t>、税金</w:t>
      </w:r>
      <w:bookmarkEnd w:id="43"/>
      <w:r>
        <w:rPr>
          <w:rFonts w:hint="eastAsia" w:asciiTheme="minorEastAsia" w:hAnsiTheme="minorEastAsia" w:eastAsiaTheme="minorEastAsia" w:cstheme="minorEastAsia"/>
          <w:color w:val="000000" w:themeColor="text1"/>
          <w:sz w:val="24"/>
          <w:szCs w:val="24"/>
          <w14:textFill>
            <w14:solidFill>
              <w14:schemeClr w14:val="tx1"/>
            </w14:solidFill>
          </w14:textFill>
        </w:rPr>
        <w:t>。投标单位报价除报总价外还要提供</w:t>
      </w:r>
      <w:r>
        <w:rPr>
          <w:rFonts w:hint="eastAsia" w:asciiTheme="minorEastAsia" w:hAnsiTheme="minorEastAsia" w:cstheme="minorEastAsia"/>
          <w:color w:val="000000" w:themeColor="text1"/>
          <w:sz w:val="24"/>
          <w:szCs w:val="24"/>
          <w:lang w:val="en-US" w:eastAsia="zh-CN"/>
          <w14:textFill>
            <w14:solidFill>
              <w14:schemeClr w14:val="tx1"/>
            </w14:solidFill>
          </w14:textFill>
        </w:rPr>
        <w:t>明细报价表</w:t>
      </w:r>
      <w:r>
        <w:rPr>
          <w:rFonts w:hint="eastAsia" w:asciiTheme="minorEastAsia" w:hAnsiTheme="minorEastAsia" w:eastAsiaTheme="minorEastAsia" w:cstheme="minorEastAsia"/>
          <w:color w:val="000000" w:themeColor="text1"/>
          <w:sz w:val="24"/>
          <w:szCs w:val="24"/>
          <w14:textFill>
            <w14:solidFill>
              <w14:schemeClr w14:val="tx1"/>
            </w14:solidFill>
          </w14:textFill>
        </w:rPr>
        <w:t>（工程量清单作为总价支撑依据），投标总价作为评标依据。大小写应当一致，如不一致，以大写为准，若工程量清单中分项报价与合计应当一致，如不一致，采购单位有权采用对采购人有利的金额为准。</w:t>
      </w:r>
    </w:p>
    <w:p>
      <w:pPr>
        <w:pStyle w:val="4"/>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八、评审办法</w:t>
      </w:r>
      <w:bookmarkEnd w:id="12"/>
    </w:p>
    <w:p>
      <w:pPr>
        <w:pageBreakBefore w:val="0"/>
        <w:numPr>
          <w:ilvl w:val="0"/>
          <w:numId w:val="5"/>
        </w:numPr>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评审依据</w:t>
      </w:r>
    </w:p>
    <w:p>
      <w:pPr>
        <w:pageBreakBefore w:val="0"/>
        <w:numPr>
          <w:ilvl w:val="0"/>
          <w:numId w:val="0"/>
        </w:numPr>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采购单位将以</w:t>
      </w:r>
      <w:r>
        <w:rPr>
          <w:rFonts w:hint="eastAsia" w:asciiTheme="minorEastAsia" w:hAnsiTheme="minorEastAsia" w:cstheme="minorEastAsia"/>
          <w:sz w:val="24"/>
          <w:szCs w:val="24"/>
          <w:lang w:val="en-US" w:eastAsia="zh-CN"/>
        </w:rPr>
        <w:t>上传的响应文件</w:t>
      </w:r>
      <w:r>
        <w:rPr>
          <w:rFonts w:hint="eastAsia" w:asciiTheme="minorEastAsia" w:hAnsiTheme="minorEastAsia" w:eastAsiaTheme="minorEastAsia" w:cstheme="minorEastAsia"/>
          <w:sz w:val="24"/>
          <w:szCs w:val="24"/>
          <w:lang w:val="en-US" w:eastAsia="zh-CN"/>
        </w:rPr>
        <w:t>作为评判依据。</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无效响应</w:t>
      </w:r>
    </w:p>
    <w:p>
      <w:pPr>
        <w:pageBreakBefore w:val="0"/>
        <w:kinsoku/>
        <w:wordWrap/>
        <w:overflowPunct/>
        <w:topLinePunct w:val="0"/>
        <w:autoSpaceDE/>
        <w:autoSpaceDN/>
        <w:bidi w:val="0"/>
        <w:adjustRightInd/>
        <w:snapToGrid w:val="0"/>
        <w:spacing w:line="46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有下列情况之一者，为无效</w:t>
      </w:r>
      <w:r>
        <w:rPr>
          <w:rFonts w:hint="eastAsia" w:asciiTheme="minorEastAsia" w:hAnsiTheme="minorEastAsia" w:eastAsiaTheme="minorEastAsia" w:cstheme="minorEastAsia"/>
          <w:b/>
          <w:bCs/>
          <w:sz w:val="24"/>
          <w:szCs w:val="24"/>
          <w:lang w:eastAsia="zh-CN"/>
        </w:rPr>
        <w:t>响应，为废标</w:t>
      </w:r>
      <w:r>
        <w:rPr>
          <w:rFonts w:hint="eastAsia" w:asciiTheme="minorEastAsia" w:hAnsiTheme="minorEastAsia" w:eastAsiaTheme="minorEastAsia" w:cstheme="minorEastAsia"/>
          <w:b/>
          <w:bCs/>
          <w:sz w:val="24"/>
          <w:szCs w:val="24"/>
        </w:rPr>
        <w:t>（请仔细阅读）：</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文件缺少</w:t>
      </w:r>
      <w:r>
        <w:rPr>
          <w:rFonts w:hint="eastAsia" w:asciiTheme="minorEastAsia" w:hAnsiTheme="minorEastAsia" w:eastAsiaTheme="minorEastAsia" w:cstheme="minorEastAsia"/>
          <w:sz w:val="24"/>
          <w:szCs w:val="24"/>
          <w:lang w:eastAsia="zh-CN"/>
        </w:rPr>
        <w:t>前述“五”中“</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lang w:eastAsia="zh-CN"/>
        </w:rPr>
        <w:t>”所列要件或者</w:t>
      </w:r>
      <w:r>
        <w:rPr>
          <w:rFonts w:hint="eastAsia" w:asciiTheme="minorEastAsia" w:hAnsiTheme="minorEastAsia" w:eastAsiaTheme="minorEastAsia" w:cstheme="minorEastAsia"/>
          <w:sz w:val="24"/>
          <w:szCs w:val="24"/>
          <w:lang w:val="en-US" w:eastAsia="zh-CN"/>
        </w:rPr>
        <w:t>响应文件要件达不到本询比文件要求的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）营业执照等复印件未加盖投标单位公章或骑缝章的。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响应文件未按照本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文件第六篇响应文件格式中所规定签字、盖章</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营业执照经营范围</w:t>
      </w:r>
      <w:r>
        <w:rPr>
          <w:rFonts w:hint="eastAsia" w:asciiTheme="minorEastAsia" w:hAnsiTheme="minorEastAsia" w:eastAsiaTheme="minorEastAsia" w:cstheme="minorEastAsia"/>
          <w:sz w:val="24"/>
          <w:szCs w:val="24"/>
          <w:lang w:eastAsia="zh-CN"/>
        </w:rPr>
        <w:t>（或法人证书服务范围）</w:t>
      </w:r>
      <w:r>
        <w:rPr>
          <w:rFonts w:hint="eastAsia" w:asciiTheme="minorEastAsia" w:hAnsiTheme="minorEastAsia" w:eastAsiaTheme="minorEastAsia" w:cstheme="minorEastAsia"/>
          <w:sz w:val="24"/>
          <w:szCs w:val="24"/>
        </w:rPr>
        <w:t>或者特定资格条件与本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要求不符合或不在有效期内的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color w:val="auto"/>
          <w:sz w:val="24"/>
          <w:szCs w:val="24"/>
          <w:lang w:val="en-US" w:eastAsia="zh-CN"/>
        </w:rPr>
        <w:t>响应文件的投标时间与本询比文件发出时间和投标截止时间冲突的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投标报价超过最高限价或者未按本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文件要求</w:t>
      </w:r>
      <w:r>
        <w:rPr>
          <w:rFonts w:hint="eastAsia" w:asciiTheme="minorEastAsia" w:hAnsiTheme="minorEastAsia" w:eastAsiaTheme="minorEastAsia" w:cstheme="minorEastAsia"/>
          <w:sz w:val="24"/>
          <w:szCs w:val="24"/>
        </w:rPr>
        <w:t>报价的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(7)响应文件如有更改，在更改处未加盖公章的。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(8)响应文件未按本询比文件“第六篇 供应商编制响应文件要求”编制的。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文件内容不完全满足本</w:t>
      </w:r>
      <w:r>
        <w:rPr>
          <w:rFonts w:hint="eastAsia" w:asciiTheme="minorEastAsia" w:hAnsiTheme="minorEastAsia" w:eastAsiaTheme="minorEastAsia" w:cstheme="minorEastAsia"/>
          <w:sz w:val="24"/>
          <w:szCs w:val="24"/>
          <w:lang w:val="en-US" w:eastAsia="zh-CN"/>
        </w:rPr>
        <w:t>询比</w:t>
      </w:r>
      <w:r>
        <w:rPr>
          <w:rFonts w:hint="eastAsia" w:asciiTheme="minorEastAsia" w:hAnsiTheme="minorEastAsia" w:eastAsiaTheme="minorEastAsia" w:cstheme="minorEastAsia"/>
          <w:sz w:val="24"/>
          <w:szCs w:val="24"/>
          <w:lang w:eastAsia="zh-CN"/>
        </w:rPr>
        <w:t>文件</w:t>
      </w:r>
      <w:r>
        <w:rPr>
          <w:rFonts w:hint="eastAsia" w:asciiTheme="minorEastAsia" w:hAnsiTheme="minorEastAsia" w:eastAsiaTheme="minorEastAsia" w:cstheme="minorEastAsia"/>
          <w:sz w:val="24"/>
          <w:szCs w:val="24"/>
        </w:rPr>
        <w:t>的要求的</w:t>
      </w:r>
      <w:r>
        <w:rPr>
          <w:rFonts w:hint="eastAsia" w:asciiTheme="minorEastAsia" w:hAnsiTheme="minorEastAsia" w:eastAsiaTheme="minorEastAsia" w:cstheme="minorEastAsia"/>
          <w:sz w:val="24"/>
          <w:szCs w:val="24"/>
          <w:lang w:eastAsia="zh-CN"/>
        </w:rPr>
        <w:t>。</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中标</w:t>
      </w:r>
      <w:r>
        <w:rPr>
          <w:rFonts w:hint="eastAsia" w:asciiTheme="minorEastAsia" w:hAnsiTheme="minorEastAsia" w:eastAsiaTheme="minorEastAsia" w:cstheme="minorEastAsia"/>
          <w:color w:val="auto"/>
          <w:sz w:val="24"/>
          <w:szCs w:val="24"/>
        </w:rPr>
        <w:t>原则</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综合评分法：满分100分，采购单位对已入围（有效响应）评审的投标单位的响应文件和报价进行评分，</w:t>
      </w:r>
      <w:r>
        <w:rPr>
          <w:rFonts w:hint="eastAsia" w:asciiTheme="minorEastAsia" w:hAnsiTheme="minorEastAsia" w:cstheme="minorEastAsia"/>
          <w:color w:val="auto"/>
          <w:sz w:val="24"/>
          <w:szCs w:val="24"/>
          <w:lang w:val="en-US" w:eastAsia="zh-CN"/>
        </w:rPr>
        <w:t>授权评标委员会直接确定综合</w:t>
      </w:r>
      <w:r>
        <w:rPr>
          <w:rFonts w:hint="eastAsia" w:asciiTheme="minorEastAsia" w:hAnsiTheme="minorEastAsia" w:eastAsiaTheme="minorEastAsia" w:cstheme="minorEastAsia"/>
          <w:color w:val="auto"/>
          <w:sz w:val="24"/>
          <w:szCs w:val="24"/>
          <w:lang w:val="en-US" w:eastAsia="zh-CN"/>
        </w:rPr>
        <w:t>得分最高的投标单位为</w:t>
      </w:r>
      <w:r>
        <w:rPr>
          <w:rFonts w:hint="eastAsia" w:asciiTheme="minorEastAsia" w:hAnsiTheme="minorEastAsia" w:cstheme="minorEastAsia"/>
          <w:color w:val="auto"/>
          <w:sz w:val="24"/>
          <w:szCs w:val="24"/>
          <w:lang w:val="en-US" w:eastAsia="zh-CN"/>
        </w:rPr>
        <w:t>中标人</w:t>
      </w:r>
      <w:r>
        <w:rPr>
          <w:rFonts w:hint="eastAsia" w:asciiTheme="minorEastAsia" w:hAnsiTheme="minorEastAsia" w:eastAsiaTheme="minorEastAsia" w:cstheme="minorEastAsia"/>
          <w:color w:val="auto"/>
          <w:sz w:val="24"/>
          <w:szCs w:val="24"/>
          <w:lang w:val="en-US" w:eastAsia="zh-CN"/>
        </w:rPr>
        <w:t>；未入围的投标单位不参与评审。评审得分保留小数点后两位，如果得分相同，按小数点后第三位高的原则选取。</w:t>
      </w:r>
    </w:p>
    <w:p>
      <w:pPr>
        <w:pageBreakBefore w:val="0"/>
        <w:kinsoku/>
        <w:wordWrap/>
        <w:overflowPunct/>
        <w:topLinePunct w:val="0"/>
        <w:autoSpaceDE/>
        <w:autoSpaceDN/>
        <w:bidi w:val="0"/>
        <w:adjustRightInd/>
        <w:snapToGrid w:val="0"/>
        <w:spacing w:line="460" w:lineRule="exact"/>
        <w:ind w:firstLine="480" w:firstLineChars="20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评分标准</w:t>
      </w:r>
    </w:p>
    <w:tbl>
      <w:tblPr>
        <w:tblStyle w:val="14"/>
        <w:tblW w:w="8543" w:type="dxa"/>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504"/>
        <w:gridCol w:w="1195"/>
        <w:gridCol w:w="514"/>
        <w:gridCol w:w="4405"/>
        <w:gridCol w:w="1925"/>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Ex>
        <w:trPr>
          <w:trHeight w:val="1026" w:hRule="atLeast"/>
        </w:trPr>
        <w:tc>
          <w:tcPr>
            <w:tcW w:w="504" w:type="dxa"/>
            <w:tcBorders>
              <w:tl2br w:val="nil"/>
              <w:tr2bl w:val="nil"/>
            </w:tcBorders>
            <w:tcMar>
              <w:top w:w="60" w:type="dxa"/>
              <w:left w:w="120" w:type="dxa"/>
              <w:bottom w:w="30" w:type="dxa"/>
              <w:right w:w="120" w:type="dxa"/>
            </w:tcMar>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95" w:type="dxa"/>
            <w:tcBorders>
              <w:tl2br w:val="nil"/>
              <w:tr2bl w:val="nil"/>
            </w:tcBorders>
            <w:tcMar>
              <w:top w:w="60" w:type="dxa"/>
              <w:left w:w="120" w:type="dxa"/>
              <w:bottom w:w="30" w:type="dxa"/>
              <w:right w:w="120" w:type="dxa"/>
            </w:tcMar>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评分因素及权重</w:t>
            </w:r>
          </w:p>
        </w:tc>
        <w:tc>
          <w:tcPr>
            <w:tcW w:w="514" w:type="dxa"/>
            <w:tcBorders>
              <w:tl2br w:val="nil"/>
              <w:tr2bl w:val="nil"/>
            </w:tcBorders>
            <w:tcMar>
              <w:top w:w="60" w:type="dxa"/>
              <w:left w:w="120" w:type="dxa"/>
              <w:bottom w:w="30" w:type="dxa"/>
              <w:right w:w="120" w:type="dxa"/>
            </w:tcMar>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分值</w:t>
            </w:r>
          </w:p>
        </w:tc>
        <w:tc>
          <w:tcPr>
            <w:tcW w:w="4405" w:type="dxa"/>
            <w:tcBorders>
              <w:tl2br w:val="nil"/>
              <w:tr2bl w:val="nil"/>
            </w:tcBorders>
            <w:tcMar>
              <w:top w:w="60" w:type="dxa"/>
              <w:left w:w="120" w:type="dxa"/>
              <w:bottom w:w="30" w:type="dxa"/>
              <w:right w:w="120" w:type="dxa"/>
            </w:tcMar>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评分标准</w:t>
            </w:r>
          </w:p>
        </w:tc>
        <w:tc>
          <w:tcPr>
            <w:tcW w:w="1925" w:type="dxa"/>
            <w:tcBorders>
              <w:tl2br w:val="nil"/>
              <w:tr2bl w:val="nil"/>
            </w:tcBorders>
            <w:tcMar>
              <w:top w:w="60" w:type="dxa"/>
              <w:left w:w="120" w:type="dxa"/>
              <w:bottom w:w="30" w:type="dxa"/>
              <w:right w:w="120" w:type="dxa"/>
            </w:tcMar>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说明</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Ex>
        <w:trPr>
          <w:trHeight w:val="1338" w:hRule="atLeast"/>
        </w:trPr>
        <w:tc>
          <w:tcPr>
            <w:tcW w:w="504" w:type="dxa"/>
            <w:tcBorders>
              <w:tl2br w:val="nil"/>
              <w:tr2bl w:val="nil"/>
            </w:tcBorders>
            <w:tcMar>
              <w:top w:w="60" w:type="dxa"/>
              <w:left w:w="120" w:type="dxa"/>
              <w:bottom w:w="30" w:type="dxa"/>
              <w:right w:w="120" w:type="dxa"/>
            </w:tcMar>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1</w:t>
            </w:r>
          </w:p>
        </w:tc>
        <w:tc>
          <w:tcPr>
            <w:tcW w:w="1195" w:type="dxa"/>
            <w:tcBorders>
              <w:tl2br w:val="nil"/>
              <w:tr2bl w:val="nil"/>
            </w:tcBorders>
            <w:tcMar>
              <w:top w:w="60" w:type="dxa"/>
              <w:left w:w="120" w:type="dxa"/>
              <w:bottom w:w="30" w:type="dxa"/>
              <w:right w:w="120" w:type="dxa"/>
            </w:tcMar>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投标报价（40%）</w:t>
            </w:r>
          </w:p>
        </w:tc>
        <w:tc>
          <w:tcPr>
            <w:tcW w:w="514" w:type="dxa"/>
            <w:tcBorders>
              <w:tl2br w:val="nil"/>
              <w:tr2bl w:val="nil"/>
            </w:tcBorders>
            <w:tcMar>
              <w:top w:w="60" w:type="dxa"/>
              <w:left w:w="120" w:type="dxa"/>
              <w:bottom w:w="30" w:type="dxa"/>
              <w:right w:w="120" w:type="dxa"/>
            </w:tcMar>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40分</w:t>
            </w:r>
          </w:p>
        </w:tc>
        <w:tc>
          <w:tcPr>
            <w:tcW w:w="4405" w:type="dxa"/>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r>
              <w:rPr>
                <w:rFonts w:hint="eastAsia" w:ascii="宋体" w:hAnsi="宋体" w:eastAsia="宋体" w:cs="宋体"/>
                <w:sz w:val="24"/>
                <w:szCs w:val="24"/>
              </w:rPr>
              <w:t>有效的投标报价中的最低价为评标基准价，按照下列公式计算每个供应商的投标价格得分：投标报价得分 =（评标基准价/投标报价）×价格权重×100</w:t>
            </w:r>
          </w:p>
        </w:tc>
        <w:tc>
          <w:tcPr>
            <w:tcW w:w="1925" w:type="dxa"/>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r>
              <w:rPr>
                <w:rFonts w:hint="eastAsia" w:ascii="宋体" w:hAnsi="宋体" w:eastAsia="宋体" w:cs="宋体"/>
                <w:sz w:val="24"/>
                <w:szCs w:val="24"/>
              </w:rPr>
              <w:t>得分保留两位小数，第三位四舍五入。</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Ex>
        <w:trPr>
          <w:trHeight w:val="3289" w:hRule="atLeast"/>
        </w:trPr>
        <w:tc>
          <w:tcPr>
            <w:tcW w:w="504" w:type="dxa"/>
            <w:vMerge w:val="restart"/>
            <w:tcBorders>
              <w:tl2br w:val="nil"/>
              <w:tr2bl w:val="nil"/>
            </w:tcBorders>
            <w:tcMar>
              <w:top w:w="60" w:type="dxa"/>
              <w:left w:w="120" w:type="dxa"/>
              <w:bottom w:w="30" w:type="dxa"/>
              <w:right w:w="120" w:type="dxa"/>
            </w:tcMar>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2</w:t>
            </w:r>
          </w:p>
        </w:tc>
        <w:tc>
          <w:tcPr>
            <w:tcW w:w="1195" w:type="dxa"/>
            <w:vMerge w:val="restart"/>
            <w:tcBorders>
              <w:tl2br w:val="nil"/>
              <w:tr2bl w:val="nil"/>
            </w:tcBorders>
            <w:tcMar>
              <w:top w:w="60" w:type="dxa"/>
              <w:left w:w="120" w:type="dxa"/>
              <w:bottom w:w="30" w:type="dxa"/>
              <w:right w:w="120" w:type="dxa"/>
            </w:tcMar>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服务部分</w:t>
            </w:r>
            <w:r>
              <w:rPr>
                <w:rFonts w:hint="eastAsia" w:ascii="宋体" w:hAnsi="宋体" w:eastAsia="宋体" w:cs="宋体"/>
                <w:sz w:val="24"/>
                <w:szCs w:val="24"/>
              </w:rPr>
              <w:t>（</w:t>
            </w:r>
            <w:r>
              <w:rPr>
                <w:rFonts w:hint="eastAsia" w:ascii="宋体" w:hAnsi="宋体" w:eastAsia="宋体" w:cs="宋体"/>
                <w:sz w:val="24"/>
                <w:szCs w:val="24"/>
                <w:lang w:val="en-US" w:eastAsia="zh-CN"/>
              </w:rPr>
              <w:t>30</w:t>
            </w:r>
            <w:r>
              <w:rPr>
                <w:rFonts w:hint="eastAsia" w:ascii="宋体" w:hAnsi="宋体" w:eastAsia="宋体" w:cs="宋体"/>
                <w:sz w:val="24"/>
                <w:szCs w:val="24"/>
              </w:rPr>
              <w:t>%）</w:t>
            </w:r>
          </w:p>
        </w:tc>
        <w:tc>
          <w:tcPr>
            <w:tcW w:w="514" w:type="dxa"/>
            <w:vMerge w:val="restart"/>
            <w:tcBorders>
              <w:tl2br w:val="nil"/>
              <w:tr2bl w:val="nil"/>
            </w:tcBorders>
            <w:tcMar>
              <w:top w:w="60" w:type="dxa"/>
              <w:left w:w="120" w:type="dxa"/>
              <w:bottom w:w="30" w:type="dxa"/>
              <w:right w:w="120" w:type="dxa"/>
            </w:tcMar>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4405" w:type="dxa"/>
            <w:tcBorders>
              <w:tl2br w:val="nil"/>
              <w:tr2bl w:val="nil"/>
            </w:tcBorders>
            <w:shd w:val="clear" w:color="auto" w:fill="auto"/>
            <w:tcMar>
              <w:top w:w="60" w:type="dxa"/>
              <w:left w:w="120" w:type="dxa"/>
              <w:bottom w:w="30" w:type="dxa"/>
              <w:right w:w="120" w:type="dxa"/>
            </w:tcMar>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.项目实施方案</w:t>
            </w:r>
          </w:p>
          <w:p>
            <w:pPr>
              <w:spacing w:line="400" w:lineRule="exact"/>
              <w:rPr>
                <w:rFonts w:hint="eastAsia" w:ascii="宋体" w:hAnsi="宋体" w:eastAsia="宋体" w:cs="宋体"/>
                <w:sz w:val="24"/>
                <w:szCs w:val="24"/>
              </w:rPr>
            </w:pPr>
            <w:r>
              <w:rPr>
                <w:rFonts w:hint="eastAsia" w:ascii="宋体" w:hAnsi="宋体" w:eastAsia="宋体" w:cs="宋体"/>
                <w:sz w:val="24"/>
                <w:szCs w:val="24"/>
              </w:rPr>
              <w:t>根据供应商提供的完整及合理档案整理及数字化加工实施方案，包括：档案出库、档案整理、档案扫描、档案著录、数据挂接、数据质检、数据备份、档案归库等内容，进行综合评分。</w:t>
            </w:r>
          </w:p>
          <w:p>
            <w:pPr>
              <w:spacing w:line="400" w:lineRule="exact"/>
              <w:rPr>
                <w:rFonts w:hint="eastAsia" w:ascii="宋体" w:hAnsi="宋体" w:eastAsia="宋体" w:cs="宋体"/>
                <w:kern w:val="0"/>
                <w:sz w:val="24"/>
                <w:szCs w:val="24"/>
              </w:rPr>
            </w:pPr>
            <w:r>
              <w:rPr>
                <w:rFonts w:hint="eastAsia" w:ascii="宋体" w:hAnsi="宋体" w:eastAsia="宋体" w:cs="宋体"/>
                <w:sz w:val="24"/>
                <w:szCs w:val="24"/>
              </w:rPr>
              <w:t>方案内容不存在瑕疵得5分、方案内容存在1处瑕疵得3分、方案内容存在2处瑕疵得1分、方案内容存在3处及以上瑕疵得0分。</w:t>
            </w:r>
          </w:p>
        </w:tc>
        <w:tc>
          <w:tcPr>
            <w:tcW w:w="1925" w:type="dxa"/>
            <w:vMerge w:val="restart"/>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r>
              <w:rPr>
                <w:rFonts w:hint="eastAsia" w:ascii="宋体" w:hAnsi="宋体" w:eastAsia="宋体" w:cs="宋体"/>
                <w:sz w:val="24"/>
                <w:szCs w:val="24"/>
              </w:rPr>
              <w:t>本项内容中所称的“瑕疵”指方案内容缺项、内容表述不完整或缺少关键分析点，方案内容表述前后矛盾，服务措施保障安排并不适用本项目特性或非专门针对本项目制定，方案中提出的措施举措不利于本项目目标的实现等任意一种情形。</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Ex>
        <w:trPr>
          <w:trHeight w:val="894" w:hRule="atLeast"/>
        </w:trPr>
        <w:tc>
          <w:tcPr>
            <w:tcW w:w="50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1195"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51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4405" w:type="dxa"/>
            <w:tcBorders>
              <w:tl2br w:val="nil"/>
              <w:tr2bl w:val="nil"/>
            </w:tcBorders>
            <w:shd w:val="clear" w:color="auto" w:fill="auto"/>
            <w:tcMar>
              <w:top w:w="60" w:type="dxa"/>
              <w:left w:w="120" w:type="dxa"/>
              <w:bottom w:w="30" w:type="dxa"/>
              <w:right w:w="120" w:type="dxa"/>
            </w:tcMar>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.现场管理方案</w:t>
            </w:r>
          </w:p>
          <w:p>
            <w:pPr>
              <w:spacing w:line="400" w:lineRule="exact"/>
              <w:rPr>
                <w:rFonts w:hint="eastAsia" w:ascii="宋体" w:hAnsi="宋体" w:eastAsia="宋体" w:cs="宋体"/>
                <w:sz w:val="24"/>
                <w:szCs w:val="24"/>
              </w:rPr>
            </w:pPr>
            <w:r>
              <w:rPr>
                <w:rFonts w:hint="eastAsia" w:ascii="宋体" w:hAnsi="宋体" w:eastAsia="宋体" w:cs="宋体"/>
                <w:sz w:val="24"/>
                <w:szCs w:val="24"/>
              </w:rPr>
              <w:t>根据供应商提供针对本项目的现场管理方案，包括：安全生产管理制度、加工场地管理制度、员工行为规范等。进行综合评分。</w:t>
            </w:r>
          </w:p>
          <w:p>
            <w:pPr>
              <w:spacing w:line="400" w:lineRule="exact"/>
              <w:rPr>
                <w:rFonts w:hint="eastAsia" w:ascii="宋体" w:hAnsi="宋体" w:eastAsia="宋体" w:cs="宋体"/>
                <w:kern w:val="0"/>
                <w:sz w:val="24"/>
                <w:szCs w:val="24"/>
              </w:rPr>
            </w:pPr>
            <w:r>
              <w:rPr>
                <w:rFonts w:hint="eastAsia" w:ascii="宋体" w:hAnsi="宋体" w:eastAsia="宋体" w:cs="宋体"/>
                <w:sz w:val="24"/>
                <w:szCs w:val="24"/>
              </w:rPr>
              <w:t>方案内容不存在瑕疵得5分、方案内容存在1处瑕疵得3分、方案内容存在2处瑕疵得1分、方案内容存在3处及以上瑕疵得0分。</w:t>
            </w:r>
          </w:p>
        </w:tc>
        <w:tc>
          <w:tcPr>
            <w:tcW w:w="1925"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Ex>
        <w:trPr>
          <w:trHeight w:val="90" w:hRule="atLeast"/>
        </w:trPr>
        <w:tc>
          <w:tcPr>
            <w:tcW w:w="50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1195"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51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4405" w:type="dxa"/>
            <w:tcBorders>
              <w:tl2br w:val="nil"/>
              <w:tr2bl w:val="nil"/>
            </w:tcBorders>
            <w:shd w:val="clear" w:color="auto" w:fill="auto"/>
            <w:tcMar>
              <w:top w:w="60" w:type="dxa"/>
              <w:left w:w="120" w:type="dxa"/>
              <w:bottom w:w="30" w:type="dxa"/>
              <w:right w:w="120" w:type="dxa"/>
            </w:tcMar>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.技术保障</w:t>
            </w:r>
          </w:p>
          <w:p>
            <w:pPr>
              <w:spacing w:line="400" w:lineRule="exact"/>
              <w:rPr>
                <w:rFonts w:hint="eastAsia" w:ascii="宋体" w:hAnsi="宋体" w:eastAsia="宋体" w:cs="宋体"/>
                <w:sz w:val="24"/>
                <w:szCs w:val="24"/>
              </w:rPr>
            </w:pPr>
            <w:r>
              <w:rPr>
                <w:rFonts w:hint="eastAsia" w:ascii="宋体" w:hAnsi="宋体" w:eastAsia="宋体" w:cs="宋体"/>
                <w:sz w:val="24"/>
                <w:szCs w:val="24"/>
              </w:rPr>
              <w:t>根据供应商对项目质量体系建设、质量检测体系、质检及验收方案进行综合评分。</w:t>
            </w:r>
          </w:p>
          <w:p>
            <w:pPr>
              <w:spacing w:line="400" w:lineRule="exact"/>
              <w:rPr>
                <w:rFonts w:hint="eastAsia" w:ascii="宋体" w:hAnsi="宋体" w:eastAsia="宋体" w:cs="宋体"/>
                <w:kern w:val="0"/>
                <w:sz w:val="24"/>
                <w:szCs w:val="24"/>
              </w:rPr>
            </w:pPr>
            <w:r>
              <w:rPr>
                <w:rFonts w:hint="eastAsia" w:ascii="宋体" w:hAnsi="宋体" w:eastAsia="宋体" w:cs="宋体"/>
                <w:sz w:val="24"/>
                <w:szCs w:val="24"/>
              </w:rPr>
              <w:t>方案内容不存在瑕疵得5分、方案内容存在1处瑕疵得3分、方案内容存在2处瑕疵得1分、方案内容存在3处及以上瑕疵得0分。</w:t>
            </w:r>
          </w:p>
        </w:tc>
        <w:tc>
          <w:tcPr>
            <w:tcW w:w="1925"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Ex>
        <w:trPr>
          <w:trHeight w:val="3688" w:hRule="atLeast"/>
        </w:trPr>
        <w:tc>
          <w:tcPr>
            <w:tcW w:w="50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1195"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51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4405" w:type="dxa"/>
            <w:tcBorders>
              <w:tl2br w:val="nil"/>
              <w:tr2bl w:val="nil"/>
            </w:tcBorders>
            <w:shd w:val="clear" w:color="auto" w:fill="auto"/>
            <w:tcMar>
              <w:top w:w="60" w:type="dxa"/>
              <w:left w:w="120" w:type="dxa"/>
              <w:bottom w:w="30" w:type="dxa"/>
              <w:right w:w="120" w:type="dxa"/>
            </w:tcMar>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.安全保密</w:t>
            </w:r>
          </w:p>
          <w:p>
            <w:pPr>
              <w:spacing w:line="400" w:lineRule="exact"/>
              <w:rPr>
                <w:rFonts w:hint="eastAsia" w:ascii="宋体" w:hAnsi="宋体" w:eastAsia="宋体" w:cs="宋体"/>
                <w:sz w:val="24"/>
                <w:szCs w:val="24"/>
              </w:rPr>
            </w:pPr>
            <w:r>
              <w:rPr>
                <w:rFonts w:hint="eastAsia" w:ascii="宋体" w:hAnsi="宋体" w:eastAsia="宋体" w:cs="宋体"/>
                <w:sz w:val="24"/>
                <w:szCs w:val="24"/>
              </w:rPr>
              <w:t>根据供应商提供针对本项目完整的安全保密方案，包括：档案实体安全、成果数据安全、信息安全保密、保障管理措施、保密承诺等进行综合评分。</w:t>
            </w:r>
          </w:p>
          <w:p>
            <w:pPr>
              <w:spacing w:line="400" w:lineRule="exact"/>
              <w:rPr>
                <w:rFonts w:hint="eastAsia" w:ascii="宋体" w:hAnsi="宋体" w:eastAsia="宋体" w:cs="宋体"/>
                <w:kern w:val="0"/>
                <w:sz w:val="24"/>
                <w:szCs w:val="24"/>
              </w:rPr>
            </w:pPr>
            <w:r>
              <w:rPr>
                <w:rFonts w:hint="eastAsia" w:ascii="宋体" w:hAnsi="宋体" w:eastAsia="宋体" w:cs="宋体"/>
                <w:sz w:val="24"/>
                <w:szCs w:val="24"/>
              </w:rPr>
              <w:t>方案内容不存在瑕疵得5分、方案内容存在1处瑕疵得3分、方案内容存在2处瑕疵得1分、方案内容存在3处及以上瑕疵得0分。</w:t>
            </w:r>
          </w:p>
        </w:tc>
        <w:tc>
          <w:tcPr>
            <w:tcW w:w="1925"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Ex>
        <w:trPr>
          <w:trHeight w:val="2563" w:hRule="atLeast"/>
        </w:trPr>
        <w:tc>
          <w:tcPr>
            <w:tcW w:w="50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1195"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51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4405" w:type="dxa"/>
            <w:tcBorders>
              <w:tl2br w:val="nil"/>
              <w:tr2bl w:val="nil"/>
            </w:tcBorders>
            <w:shd w:val="clear" w:color="auto" w:fill="auto"/>
            <w:tcMar>
              <w:top w:w="60" w:type="dxa"/>
              <w:left w:w="120" w:type="dxa"/>
              <w:bottom w:w="30" w:type="dxa"/>
              <w:right w:w="120" w:type="dxa"/>
            </w:tcMar>
            <w:vAlign w:val="top"/>
          </w:tcPr>
          <w:p>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进度保障</w:t>
            </w:r>
          </w:p>
          <w:p>
            <w:pPr>
              <w:spacing w:line="400" w:lineRule="exact"/>
              <w:rPr>
                <w:rFonts w:hint="eastAsia" w:ascii="宋体" w:hAnsi="宋体" w:eastAsia="宋体" w:cs="宋体"/>
                <w:sz w:val="24"/>
                <w:szCs w:val="24"/>
              </w:rPr>
            </w:pPr>
            <w:r>
              <w:rPr>
                <w:rFonts w:hint="eastAsia" w:ascii="宋体" w:hAnsi="宋体" w:eastAsia="宋体" w:cs="宋体"/>
                <w:sz w:val="24"/>
                <w:szCs w:val="24"/>
              </w:rPr>
              <w:t>根据供应商项目进度计划及应急措施进行综合评分。</w:t>
            </w:r>
          </w:p>
          <w:p>
            <w:pPr>
              <w:bidi w:val="0"/>
              <w:rPr>
                <w:rFonts w:hint="eastAsia" w:ascii="宋体" w:hAnsi="宋体" w:eastAsia="宋体" w:cs="宋体"/>
                <w:sz w:val="24"/>
                <w:szCs w:val="24"/>
                <w:lang w:val="en-US" w:eastAsia="zh-CN"/>
              </w:rPr>
            </w:pPr>
            <w:r>
              <w:rPr>
                <w:rFonts w:hint="eastAsia" w:ascii="宋体" w:hAnsi="宋体" w:eastAsia="宋体" w:cs="宋体"/>
                <w:sz w:val="24"/>
                <w:szCs w:val="24"/>
              </w:rPr>
              <w:t>方案内容不存在瑕疵得5分、方案内容存在1处瑕疵得3分、方案内容存在2处瑕疵得1分、方案内容存在3处及以上瑕疵得0分。</w:t>
            </w:r>
          </w:p>
        </w:tc>
        <w:tc>
          <w:tcPr>
            <w:tcW w:w="1925"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Ex>
        <w:trPr>
          <w:trHeight w:val="2960" w:hRule="atLeast"/>
        </w:trPr>
        <w:tc>
          <w:tcPr>
            <w:tcW w:w="50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1195"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51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4405" w:type="dxa"/>
            <w:tcBorders>
              <w:tl2br w:val="nil"/>
              <w:tr2bl w:val="nil"/>
            </w:tcBorders>
            <w:shd w:val="clear" w:color="auto" w:fill="auto"/>
            <w:tcMar>
              <w:top w:w="60" w:type="dxa"/>
              <w:left w:w="120" w:type="dxa"/>
              <w:bottom w:w="30" w:type="dxa"/>
              <w:right w:w="120" w:type="dxa"/>
            </w:tcMar>
            <w:vAlign w:val="top"/>
          </w:tcPr>
          <w:p>
            <w:pPr>
              <w:spacing w:line="400" w:lineRule="exac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服务方案及承诺</w:t>
            </w:r>
          </w:p>
          <w:p>
            <w:pPr>
              <w:spacing w:line="400" w:lineRule="exact"/>
              <w:rPr>
                <w:rFonts w:hint="eastAsia" w:ascii="宋体" w:hAnsi="宋体" w:eastAsia="宋体" w:cs="宋体"/>
                <w:sz w:val="24"/>
                <w:szCs w:val="24"/>
              </w:rPr>
            </w:pPr>
            <w:r>
              <w:rPr>
                <w:rFonts w:hint="eastAsia" w:ascii="宋体" w:hAnsi="宋体" w:eastAsia="宋体" w:cs="宋体"/>
                <w:sz w:val="24"/>
                <w:szCs w:val="24"/>
              </w:rPr>
              <w:t>根据对本项目现场故障的响应、处理、定期巡检等情况的有效性方案及服务承诺情况进行综合评分。</w:t>
            </w:r>
          </w:p>
          <w:p>
            <w:pPr>
              <w:bidi w:val="0"/>
              <w:rPr>
                <w:rFonts w:hint="eastAsia" w:ascii="宋体" w:hAnsi="宋体" w:eastAsia="宋体" w:cs="宋体"/>
                <w:sz w:val="24"/>
                <w:szCs w:val="24"/>
                <w:lang w:val="en-US" w:eastAsia="zh-CN"/>
              </w:rPr>
            </w:pPr>
            <w:r>
              <w:rPr>
                <w:rFonts w:hint="eastAsia" w:ascii="宋体" w:hAnsi="宋体" w:eastAsia="宋体" w:cs="宋体"/>
                <w:sz w:val="24"/>
                <w:szCs w:val="24"/>
              </w:rPr>
              <w:t>方案内容不存在瑕疵得5分、方案内容存在1处瑕疵得3分、方案内容存在2处瑕疵得1分、方案内容存在3处及以上瑕疵得0分。</w:t>
            </w:r>
          </w:p>
        </w:tc>
        <w:tc>
          <w:tcPr>
            <w:tcW w:w="1925"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Ex>
        <w:trPr>
          <w:trHeight w:val="1205" w:hRule="atLeast"/>
        </w:trPr>
        <w:tc>
          <w:tcPr>
            <w:tcW w:w="504" w:type="dxa"/>
            <w:vMerge w:val="restart"/>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195" w:type="dxa"/>
            <w:vMerge w:val="restart"/>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r>
              <w:rPr>
                <w:rFonts w:hint="eastAsia" w:ascii="宋体" w:hAnsi="宋体" w:eastAsia="宋体" w:cs="宋体"/>
                <w:kern w:val="0"/>
                <w:sz w:val="24"/>
                <w:szCs w:val="24"/>
              </w:rPr>
              <w:t>商务部分</w:t>
            </w:r>
            <w:r>
              <w:rPr>
                <w:rFonts w:hint="eastAsia" w:ascii="宋体" w:hAnsi="宋体" w:eastAsia="宋体" w:cs="宋体"/>
                <w:sz w:val="24"/>
                <w:szCs w:val="24"/>
              </w:rPr>
              <w:t>（</w:t>
            </w:r>
            <w:r>
              <w:rPr>
                <w:rFonts w:hint="eastAsia" w:ascii="宋体" w:hAnsi="宋体" w:eastAsia="宋体" w:cs="宋体"/>
                <w:sz w:val="24"/>
                <w:szCs w:val="24"/>
                <w:lang w:val="en-US" w:eastAsia="zh-CN"/>
              </w:rPr>
              <w:t>30</w:t>
            </w:r>
            <w:r>
              <w:rPr>
                <w:rFonts w:hint="eastAsia" w:ascii="宋体" w:hAnsi="宋体" w:eastAsia="宋体" w:cs="宋体"/>
                <w:sz w:val="24"/>
                <w:szCs w:val="24"/>
              </w:rPr>
              <w:t>%）</w:t>
            </w:r>
          </w:p>
        </w:tc>
        <w:tc>
          <w:tcPr>
            <w:tcW w:w="514" w:type="dxa"/>
            <w:vMerge w:val="restart"/>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4405" w:type="dxa"/>
            <w:tcBorders>
              <w:tl2br w:val="nil"/>
              <w:tr2bl w:val="nil"/>
            </w:tcBorders>
            <w:shd w:val="clear" w:color="auto" w:fill="auto"/>
            <w:tcMar>
              <w:top w:w="60" w:type="dxa"/>
              <w:left w:w="120" w:type="dxa"/>
              <w:bottom w:w="30" w:type="dxa"/>
              <w:right w:w="120" w:type="dxa"/>
            </w:tcMar>
            <w:vAlign w:val="top"/>
          </w:tcPr>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1.投标人具有ISO90001质量管理体系认证证书，且认证的范围包含档案整理及数字化加工的得3分，无得0分。</w:t>
            </w:r>
          </w:p>
        </w:tc>
        <w:tc>
          <w:tcPr>
            <w:tcW w:w="1925" w:type="dxa"/>
            <w:tcBorders>
              <w:tl2br w:val="nil"/>
              <w:tr2bl w:val="nil"/>
            </w:tcBorders>
            <w:tcMar>
              <w:top w:w="60" w:type="dxa"/>
              <w:left w:w="120" w:type="dxa"/>
              <w:bottom w:w="30" w:type="dxa"/>
              <w:right w:w="120" w:type="dxa"/>
            </w:tcMar>
            <w:vAlign w:val="top"/>
          </w:tcPr>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提供相关证明材料复印件并加盖投标人公章 。</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Ex>
        <w:trPr>
          <w:trHeight w:val="1472" w:hRule="atLeast"/>
        </w:trPr>
        <w:tc>
          <w:tcPr>
            <w:tcW w:w="50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1195"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51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4405" w:type="dxa"/>
            <w:tcBorders>
              <w:tl2br w:val="nil"/>
              <w:tr2bl w:val="nil"/>
            </w:tcBorders>
            <w:shd w:val="clear" w:color="auto" w:fill="auto"/>
            <w:tcMar>
              <w:top w:w="60" w:type="dxa"/>
              <w:left w:w="120" w:type="dxa"/>
              <w:bottom w:w="30" w:type="dxa"/>
              <w:right w:w="120" w:type="dxa"/>
            </w:tcMar>
            <w:vAlign w:val="center"/>
          </w:tcPr>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2.投标人具有ISO14001环境管理体系认证证书，且认证的范围包含档案整理及数字化加工的得3分，无得0分。</w:t>
            </w:r>
          </w:p>
        </w:tc>
        <w:tc>
          <w:tcPr>
            <w:tcW w:w="1925" w:type="dxa"/>
            <w:tcBorders>
              <w:tl2br w:val="nil"/>
              <w:tr2bl w:val="nil"/>
            </w:tcBorders>
            <w:tcMar>
              <w:top w:w="60" w:type="dxa"/>
              <w:left w:w="120" w:type="dxa"/>
              <w:bottom w:w="30" w:type="dxa"/>
              <w:right w:w="120" w:type="dxa"/>
            </w:tcMar>
            <w:vAlign w:val="top"/>
          </w:tcPr>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提供相关证明材料复印件并加盖投标人公章 。</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Ex>
        <w:trPr>
          <w:trHeight w:val="858" w:hRule="atLeast"/>
        </w:trPr>
        <w:tc>
          <w:tcPr>
            <w:tcW w:w="50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1195"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51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4405" w:type="dxa"/>
            <w:tcBorders>
              <w:tl2br w:val="nil"/>
              <w:tr2bl w:val="nil"/>
            </w:tcBorders>
            <w:shd w:val="clear" w:color="auto" w:fill="auto"/>
            <w:tcMar>
              <w:top w:w="60" w:type="dxa"/>
              <w:left w:w="120" w:type="dxa"/>
              <w:bottom w:w="30" w:type="dxa"/>
              <w:right w:w="120" w:type="dxa"/>
            </w:tcMar>
            <w:vAlign w:val="center"/>
          </w:tcPr>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3.投标人具有高新技术企业认证证书的得3分，无得0分。</w:t>
            </w:r>
          </w:p>
        </w:tc>
        <w:tc>
          <w:tcPr>
            <w:tcW w:w="1925" w:type="dxa"/>
            <w:tcBorders>
              <w:tl2br w:val="nil"/>
              <w:tr2bl w:val="nil"/>
            </w:tcBorders>
            <w:tcMar>
              <w:top w:w="60" w:type="dxa"/>
              <w:left w:w="120" w:type="dxa"/>
              <w:bottom w:w="30" w:type="dxa"/>
              <w:right w:w="120" w:type="dxa"/>
            </w:tcMar>
            <w:vAlign w:val="top"/>
          </w:tcPr>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提供相关证明材料复印件并加盖投标人公章 。</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Ex>
        <w:trPr>
          <w:trHeight w:val="725" w:hRule="atLeast"/>
        </w:trPr>
        <w:tc>
          <w:tcPr>
            <w:tcW w:w="50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1195"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51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4405" w:type="dxa"/>
            <w:tcBorders>
              <w:tl2br w:val="nil"/>
              <w:tr2bl w:val="nil"/>
            </w:tcBorders>
            <w:shd w:val="clear" w:color="auto" w:fill="auto"/>
            <w:tcMar>
              <w:top w:w="60" w:type="dxa"/>
              <w:left w:w="120" w:type="dxa"/>
              <w:bottom w:w="30" w:type="dxa"/>
              <w:right w:w="120" w:type="dxa"/>
            </w:tcMar>
            <w:vAlign w:val="center"/>
          </w:tcPr>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4.投标人具有数字档案管理系统软件著作权登记证书的得3分，无得0分。</w:t>
            </w:r>
          </w:p>
        </w:tc>
        <w:tc>
          <w:tcPr>
            <w:tcW w:w="1925" w:type="dxa"/>
            <w:tcBorders>
              <w:tl2br w:val="nil"/>
              <w:tr2bl w:val="nil"/>
            </w:tcBorders>
            <w:tcMar>
              <w:top w:w="60" w:type="dxa"/>
              <w:left w:w="120" w:type="dxa"/>
              <w:bottom w:w="30" w:type="dxa"/>
              <w:right w:w="120" w:type="dxa"/>
            </w:tcMar>
            <w:vAlign w:val="top"/>
          </w:tcPr>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提供相关证明材料复印件并加盖投标人公章 。</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Ex>
        <w:trPr>
          <w:trHeight w:val="925" w:hRule="atLeast"/>
        </w:trPr>
        <w:tc>
          <w:tcPr>
            <w:tcW w:w="50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1195"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51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4405" w:type="dxa"/>
            <w:tcBorders>
              <w:tl2br w:val="nil"/>
              <w:tr2bl w:val="nil"/>
            </w:tcBorders>
            <w:shd w:val="clear" w:color="auto" w:fill="auto"/>
            <w:tcMar>
              <w:top w:w="60" w:type="dxa"/>
              <w:left w:w="120" w:type="dxa"/>
              <w:bottom w:w="30" w:type="dxa"/>
              <w:right w:w="120" w:type="dxa"/>
            </w:tcMar>
            <w:vAlign w:val="top"/>
          </w:tcPr>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5.投标人具有图像智能化识别系统软件著作权登记证书的得3分，无得0分。</w:t>
            </w:r>
          </w:p>
        </w:tc>
        <w:tc>
          <w:tcPr>
            <w:tcW w:w="1925" w:type="dxa"/>
            <w:tcBorders>
              <w:tl2br w:val="nil"/>
              <w:tr2bl w:val="nil"/>
            </w:tcBorders>
            <w:tcMar>
              <w:top w:w="60" w:type="dxa"/>
              <w:left w:w="120" w:type="dxa"/>
              <w:bottom w:w="30" w:type="dxa"/>
              <w:right w:w="120" w:type="dxa"/>
            </w:tcMar>
            <w:vAlign w:val="top"/>
          </w:tcPr>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提供相关证明材料复印件并加盖投标人公章 。</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Ex>
        <w:trPr>
          <w:trHeight w:val="832" w:hRule="atLeast"/>
        </w:trPr>
        <w:tc>
          <w:tcPr>
            <w:tcW w:w="50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1195"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51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4405" w:type="dxa"/>
            <w:tcBorders>
              <w:tl2br w:val="nil"/>
              <w:tr2bl w:val="nil"/>
            </w:tcBorders>
            <w:shd w:val="clear" w:color="auto" w:fill="auto"/>
            <w:tcMar>
              <w:top w:w="60" w:type="dxa"/>
              <w:left w:w="120" w:type="dxa"/>
              <w:bottom w:w="30" w:type="dxa"/>
              <w:right w:w="120" w:type="dxa"/>
            </w:tcMar>
            <w:vAlign w:val="top"/>
          </w:tcPr>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6.投标人具有藏品管理系统软件著作权登记证书的得3分，无得0分。</w:t>
            </w:r>
          </w:p>
        </w:tc>
        <w:tc>
          <w:tcPr>
            <w:tcW w:w="1925" w:type="dxa"/>
            <w:tcBorders>
              <w:tl2br w:val="nil"/>
              <w:tr2bl w:val="nil"/>
            </w:tcBorders>
            <w:tcMar>
              <w:top w:w="60" w:type="dxa"/>
              <w:left w:w="120" w:type="dxa"/>
              <w:bottom w:w="30" w:type="dxa"/>
              <w:right w:w="120" w:type="dxa"/>
            </w:tcMar>
            <w:vAlign w:val="top"/>
          </w:tcPr>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提供相关证明材料复印件并加盖投标人公章 。</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Ex>
        <w:trPr>
          <w:trHeight w:val="90" w:hRule="atLeast"/>
        </w:trPr>
        <w:tc>
          <w:tcPr>
            <w:tcW w:w="50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1195"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51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4405" w:type="dxa"/>
            <w:tcBorders>
              <w:tl2br w:val="nil"/>
              <w:tr2bl w:val="nil"/>
            </w:tcBorders>
            <w:shd w:val="clear" w:color="auto" w:fill="auto"/>
            <w:tcMar>
              <w:top w:w="60" w:type="dxa"/>
              <w:left w:w="120" w:type="dxa"/>
              <w:bottom w:w="30" w:type="dxa"/>
              <w:right w:w="120" w:type="dxa"/>
            </w:tcMar>
            <w:vAlign w:val="top"/>
          </w:tcPr>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7.投标人拟派的项目实施人员具有省级及以上保密局颁发的保密管理培训结业证书的，每有1个得3分，最多得6分。</w:t>
            </w:r>
          </w:p>
        </w:tc>
        <w:tc>
          <w:tcPr>
            <w:tcW w:w="1925" w:type="dxa"/>
            <w:tcBorders>
              <w:tl2br w:val="nil"/>
              <w:tr2bl w:val="nil"/>
            </w:tcBorders>
            <w:tcMar>
              <w:top w:w="60" w:type="dxa"/>
              <w:left w:w="120" w:type="dxa"/>
              <w:bottom w:w="30" w:type="dxa"/>
              <w:right w:w="120" w:type="dxa"/>
            </w:tcMar>
            <w:vAlign w:val="top"/>
          </w:tcPr>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提供相关证明材料复印件并加盖投标人公章 。</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Ex>
        <w:trPr>
          <w:trHeight w:val="465" w:hRule="atLeast"/>
        </w:trPr>
        <w:tc>
          <w:tcPr>
            <w:tcW w:w="50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1195"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514" w:type="dxa"/>
            <w:vMerge w:val="continue"/>
            <w:tcBorders>
              <w:tl2br w:val="nil"/>
              <w:tr2bl w:val="nil"/>
            </w:tcBorders>
            <w:tcMar>
              <w:top w:w="60" w:type="dxa"/>
              <w:left w:w="120" w:type="dxa"/>
              <w:bottom w:w="30" w:type="dxa"/>
              <w:right w:w="120" w:type="dxa"/>
            </w:tcMar>
            <w:vAlign w:val="top"/>
          </w:tcPr>
          <w:p>
            <w:pPr>
              <w:bidi w:val="0"/>
              <w:rPr>
                <w:rFonts w:hint="eastAsia" w:ascii="宋体" w:hAnsi="宋体" w:eastAsia="宋体" w:cs="宋体"/>
                <w:sz w:val="24"/>
                <w:szCs w:val="24"/>
              </w:rPr>
            </w:pPr>
          </w:p>
        </w:tc>
        <w:tc>
          <w:tcPr>
            <w:tcW w:w="4405" w:type="dxa"/>
            <w:tcBorders>
              <w:tl2br w:val="nil"/>
              <w:tr2bl w:val="nil"/>
            </w:tcBorders>
            <w:shd w:val="clear" w:color="auto" w:fill="auto"/>
            <w:tcMar>
              <w:top w:w="60" w:type="dxa"/>
              <w:left w:w="120" w:type="dxa"/>
              <w:bottom w:w="30" w:type="dxa"/>
              <w:right w:w="120" w:type="dxa"/>
            </w:tcMar>
            <w:vAlign w:val="top"/>
          </w:tcPr>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8.业绩：</w:t>
            </w:r>
          </w:p>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8.1投标人具有博物馆类档案数字化业绩的得4分，无得0分。</w:t>
            </w:r>
          </w:p>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8.2投标人具有其他行业档案数字化业绩的得2分，无得0分。</w:t>
            </w:r>
          </w:p>
        </w:tc>
        <w:tc>
          <w:tcPr>
            <w:tcW w:w="1925" w:type="dxa"/>
            <w:tcBorders>
              <w:tl2br w:val="nil"/>
              <w:tr2bl w:val="nil"/>
            </w:tcBorders>
            <w:tcMar>
              <w:top w:w="60" w:type="dxa"/>
              <w:left w:w="120" w:type="dxa"/>
              <w:bottom w:w="30" w:type="dxa"/>
              <w:right w:w="120" w:type="dxa"/>
            </w:tcMar>
            <w:vAlign w:val="top"/>
          </w:tcPr>
          <w:p>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提供相关证明材料复印件并加盖投标人公章 。</w:t>
            </w:r>
          </w:p>
        </w:tc>
      </w:tr>
    </w:tbl>
    <w:p>
      <w:pPr>
        <w:pageBreakBefore w:val="0"/>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color w:val="FF0000"/>
          <w:sz w:val="24"/>
          <w:szCs w:val="24"/>
          <w:lang w:val="en-US" w:eastAsia="zh-CN"/>
        </w:rPr>
      </w:pP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出现以下情况之一的，应重新组织采购：</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（1）出现影响采购公正的违法、违规行为的；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投标单位</w:t>
      </w:r>
      <w:r>
        <w:rPr>
          <w:rFonts w:hint="eastAsia" w:asciiTheme="minorEastAsia" w:hAnsiTheme="minorEastAsia" w:eastAsiaTheme="minorEastAsia" w:cstheme="minorEastAsia"/>
          <w:sz w:val="24"/>
          <w:szCs w:val="24"/>
        </w:rPr>
        <w:t>的报价均超过了采购预算，采购</w:t>
      </w:r>
      <w:r>
        <w:rPr>
          <w:rFonts w:hint="eastAsia" w:asciiTheme="minorEastAsia" w:hAnsiTheme="minorEastAsia" w:eastAsiaTheme="minorEastAsia" w:cstheme="minorEastAsia"/>
          <w:sz w:val="24"/>
          <w:szCs w:val="24"/>
          <w:lang w:eastAsia="zh-CN"/>
        </w:rPr>
        <w:t>单位</w:t>
      </w:r>
      <w:r>
        <w:rPr>
          <w:rFonts w:hint="eastAsia" w:asciiTheme="minorEastAsia" w:hAnsiTheme="minorEastAsia" w:eastAsiaTheme="minorEastAsia" w:cstheme="minorEastAsia"/>
          <w:sz w:val="24"/>
          <w:szCs w:val="24"/>
        </w:rPr>
        <w:t>不能支付的；</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（3）因不可抗力导致重大变故，采购任务取消的。</w:t>
      </w:r>
    </w:p>
    <w:p>
      <w:pPr>
        <w:pStyle w:val="4"/>
        <w:pageBreakBefore w:val="0"/>
        <w:kinsoku/>
        <w:wordWrap/>
        <w:overflowPunct/>
        <w:topLinePunct w:val="0"/>
        <w:autoSpaceDE/>
        <w:autoSpaceDN/>
        <w:bidi w:val="0"/>
        <w:spacing w:before="0" w:beforeLines="0" w:beforeAutospacing="0" w:after="0" w:afterLines="0" w:afterAutospacing="0" w:line="360" w:lineRule="auto"/>
        <w:ind w:left="0" w:leftChars="0" w:right="0" w:firstLine="527"/>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 xml:space="preserve">九、采购异常低价处理 </w:t>
      </w:r>
    </w:p>
    <w:p>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 xml:space="preserve">（一）采购评审中出现下列情形之一的，应当启动异常低价投标（响应）审查程序： </w:t>
      </w:r>
    </w:p>
    <w:p>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1.投标（响应）报价低于全部通过符合性审查供应商投标（响应）报价平均值</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%的，即投标（响应）报价&lt;全部通过符合性审查供应商投标（响应）报价平均值×</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 xml:space="preserve">%； </w:t>
      </w:r>
    </w:p>
    <w:p>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2.投标（响应）报价低于通过符合性审查的次低报价供应商投标（响应）报价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%的，即投标（响应）报价&lt;通过符合性审查的次低报价供应商投标（响应）报价×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  3.投标（响应）报价低于采购项目最高限价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%的，即投标（响应）报价&lt;采购项目最高限价×</w:t>
      </w:r>
      <w:r>
        <w:rPr>
          <w:rFonts w:hint="eastAsia" w:ascii="宋体" w:hAnsi="宋体" w:cs="宋体"/>
          <w:color w:val="333333"/>
          <w:kern w:val="0"/>
          <w:sz w:val="24"/>
          <w:szCs w:val="24"/>
          <w:lang w:val="en-US" w:eastAsia="zh-CN" w:bidi="ar"/>
        </w:rPr>
        <w:t>65</w:t>
      </w:r>
      <w:r>
        <w:rPr>
          <w:rFonts w:hint="eastAsia" w:ascii="宋体" w:hAnsi="宋体" w:eastAsia="宋体" w:cs="宋体"/>
          <w:color w:val="333333"/>
          <w:kern w:val="0"/>
          <w:sz w:val="24"/>
          <w:szCs w:val="24"/>
          <w:lang w:val="en-US" w:eastAsia="zh-CN" w:bidi="ar"/>
        </w:rPr>
        <w:t xml:space="preserve">%；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 xml:space="preserve">  4.评审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 xml:space="preserve">基于专业判断，认为供应商报价过低，有可能影响产品质量或者不能诚信履约的其他情形。 </w:t>
      </w:r>
    </w:p>
    <w:p>
      <w:pPr>
        <w:keepNext w:val="0"/>
        <w:keepLines w:val="0"/>
        <w:widowControl/>
        <w:suppressLineNumbers w:val="0"/>
        <w:ind w:firstLine="480" w:firstLineChars="200"/>
        <w:jc w:val="left"/>
      </w:pPr>
      <w:r>
        <w:rPr>
          <w:rFonts w:hint="eastAsia" w:ascii="宋体" w:hAnsi="宋体" w:eastAsia="宋体" w:cs="宋体"/>
          <w:color w:val="333333"/>
          <w:kern w:val="0"/>
          <w:sz w:val="24"/>
          <w:szCs w:val="24"/>
          <w:lang w:val="en-US" w:eastAsia="zh-CN" w:bidi="ar"/>
        </w:rPr>
        <w:t>（二）评审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启动异常低价投标（响应）审查后，属于前述第1项至第4项情形的，应当要求相关供应商在评审现场合理的时间内对投标（响应）价格作出解释</w:t>
      </w:r>
      <w:r>
        <w:rPr>
          <w:rFonts w:hint="eastAsia" w:ascii="宋体" w:hAnsi="宋体" w:cs="宋体"/>
          <w:color w:val="333333"/>
          <w:kern w:val="0"/>
          <w:sz w:val="24"/>
          <w:szCs w:val="24"/>
          <w:lang w:val="en-US" w:eastAsia="zh-CN" w:bidi="ar"/>
        </w:rPr>
        <w:t>，并</w:t>
      </w:r>
      <w:r>
        <w:rPr>
          <w:rFonts w:hint="eastAsia" w:ascii="宋体" w:hAnsi="宋体" w:eastAsia="宋体" w:cs="宋体"/>
          <w:color w:val="333333"/>
          <w:kern w:val="0"/>
          <w:sz w:val="24"/>
          <w:szCs w:val="24"/>
          <w:lang w:val="en-US" w:eastAsia="zh-CN" w:bidi="ar"/>
        </w:rPr>
        <w:t xml:space="preserve">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pPr>
        <w:keepNext w:val="0"/>
        <w:keepLines w:val="0"/>
        <w:widowControl/>
        <w:suppressLineNumbers w:val="0"/>
        <w:jc w:val="left"/>
      </w:pPr>
      <w:r>
        <w:rPr>
          <w:rFonts w:hint="eastAsia" w:ascii="宋体" w:hAnsi="宋体" w:eastAsia="宋体" w:cs="宋体"/>
          <w:color w:val="333333"/>
          <w:kern w:val="0"/>
          <w:sz w:val="24"/>
          <w:szCs w:val="24"/>
          <w:lang w:val="en-US" w:eastAsia="zh-CN" w:bidi="ar"/>
        </w:rPr>
        <w:t>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 xml:space="preserve">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pPr>
        <w:keepNext w:val="0"/>
        <w:keepLines w:val="0"/>
        <w:widowControl/>
        <w:suppressLineNumbers w:val="0"/>
        <w:ind w:firstLine="480" w:firstLineChars="200"/>
        <w:jc w:val="left"/>
        <w:rPr>
          <w:rFonts w:hint="eastAsia" w:asciiTheme="minorEastAsia" w:hAnsiTheme="minorEastAsia" w:eastAsiaTheme="minorEastAsia" w:cstheme="minorEastAsia"/>
          <w:sz w:val="24"/>
          <w:szCs w:val="24"/>
        </w:rPr>
      </w:pPr>
      <w:r>
        <w:rPr>
          <w:rFonts w:hint="eastAsia" w:ascii="宋体" w:hAnsi="宋体" w:eastAsia="宋体" w:cs="宋体"/>
          <w:color w:val="333333"/>
          <w:kern w:val="0"/>
          <w:sz w:val="24"/>
          <w:szCs w:val="24"/>
          <w:lang w:val="en-US" w:eastAsia="zh-CN" w:bidi="ar"/>
        </w:rPr>
        <w:t>采购人、采购代理机构应当为评审</w:t>
      </w:r>
      <w:r>
        <w:rPr>
          <w:rFonts w:hint="eastAsia" w:ascii="宋体" w:hAnsi="宋体" w:cs="宋体"/>
          <w:color w:val="333333"/>
          <w:kern w:val="0"/>
          <w:sz w:val="24"/>
          <w:szCs w:val="24"/>
          <w:lang w:val="en-US" w:eastAsia="zh-CN" w:bidi="ar"/>
        </w:rPr>
        <w:t>专家</w:t>
      </w:r>
      <w:r>
        <w:rPr>
          <w:rFonts w:hint="eastAsia" w:ascii="宋体" w:hAnsi="宋体" w:eastAsia="宋体" w:cs="宋体"/>
          <w:color w:val="333333"/>
          <w:kern w:val="0"/>
          <w:sz w:val="24"/>
          <w:szCs w:val="24"/>
          <w:lang w:val="en-US" w:eastAsia="zh-CN" w:bidi="ar"/>
        </w:rPr>
        <w:t>在评审现场及时获取同类项目中标（成交）价格、类似产品市场价格水平、行业人工费用标准、国家有关部门指导行业协会发布的行业平均成本等相关信息资料提供便利。评审委员会借助互联网等渠道查询相关</w:t>
      </w:r>
      <w:r>
        <w:rPr>
          <w:rFonts w:hint="eastAsia" w:ascii="宋体" w:hAnsi="宋体" w:cs="宋体"/>
          <w:color w:val="333333"/>
          <w:kern w:val="0"/>
          <w:sz w:val="24"/>
          <w:szCs w:val="24"/>
          <w:lang w:val="en-US" w:eastAsia="zh-CN" w:bidi="ar"/>
        </w:rPr>
        <w:t>信息</w:t>
      </w:r>
      <w:r>
        <w:rPr>
          <w:rFonts w:hint="eastAsia" w:ascii="宋体" w:hAnsi="宋体" w:eastAsia="宋体" w:cs="宋体"/>
          <w:color w:val="333333"/>
          <w:kern w:val="0"/>
          <w:sz w:val="24"/>
          <w:szCs w:val="24"/>
          <w:lang w:val="en-US" w:eastAsia="zh-CN" w:bidi="ar"/>
        </w:rPr>
        <w:t xml:space="preserve">的，应当严格遵守评审工作纪律，不得实施影响评审公正的行为。 </w:t>
      </w:r>
    </w:p>
    <w:p>
      <w:pPr>
        <w:pStyle w:val="4"/>
        <w:pageBreakBefore w:val="0"/>
        <w:kinsoku/>
        <w:wordWrap/>
        <w:overflowPunct/>
        <w:topLinePunct w:val="0"/>
        <w:autoSpaceDE/>
        <w:autoSpaceDN/>
        <w:bidi w:val="0"/>
        <w:adjustRightInd/>
        <w:spacing w:line="460" w:lineRule="exact"/>
        <w:ind w:firstLine="527"/>
        <w:textAlignment w:val="auto"/>
        <w:rPr>
          <w:rFonts w:hint="eastAsia" w:asciiTheme="minorEastAsia" w:hAnsiTheme="minorEastAsia" w:eastAsiaTheme="minorEastAsia" w:cstheme="minorEastAsia"/>
          <w:sz w:val="24"/>
          <w:szCs w:val="24"/>
        </w:rPr>
      </w:pPr>
      <w:bookmarkStart w:id="13" w:name="_Toc187655633"/>
      <w:bookmarkStart w:id="14" w:name="_Toc102227321"/>
      <w:bookmarkStart w:id="15" w:name="_Toc372538157"/>
      <w:r>
        <w:rPr>
          <w:rFonts w:hint="eastAsia" w:asciiTheme="minorEastAsia" w:hAnsiTheme="minorEastAsia" w:eastAsiaTheme="minorEastAsia" w:cstheme="minorEastAsia"/>
          <w:sz w:val="24"/>
          <w:szCs w:val="24"/>
          <w:lang w:val="en-US" w:eastAsia="zh-CN"/>
        </w:rPr>
        <w:t>十</w:t>
      </w:r>
      <w:r>
        <w:rPr>
          <w:rFonts w:hint="eastAsia" w:asciiTheme="minorEastAsia" w:hAnsiTheme="minorEastAsia" w:eastAsiaTheme="minorEastAsia" w:cstheme="minorEastAsia"/>
          <w:sz w:val="24"/>
          <w:szCs w:val="24"/>
        </w:rPr>
        <w:t>、成交通知</w:t>
      </w:r>
      <w:bookmarkEnd w:id="13"/>
      <w:bookmarkEnd w:id="14"/>
      <w:bookmarkEnd w:id="15"/>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采购单位</w:t>
      </w:r>
      <w:r>
        <w:rPr>
          <w:rFonts w:hint="eastAsia" w:asciiTheme="minorEastAsia" w:hAnsiTheme="minorEastAsia" w:eastAsiaTheme="minorEastAsia" w:cstheme="minorEastAsia"/>
          <w:sz w:val="24"/>
          <w:szCs w:val="24"/>
        </w:rPr>
        <w:t>将以书面形式发出《</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通知书》一经发出即发生法律效力。</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通知书》将作为签订合同的依据。</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3、签订合同时，采购单位根据需要有权提出对技术条件发生变化的货物、服务或者工程作局部调整或变更数量，但需经双方共同认定。</w:t>
      </w:r>
    </w:p>
    <w:p>
      <w:pPr>
        <w:pStyle w:val="4"/>
        <w:pageBreakBefore w:val="0"/>
        <w:kinsoku/>
        <w:wordWrap/>
        <w:overflowPunct/>
        <w:topLinePunct w:val="0"/>
        <w:autoSpaceDE/>
        <w:autoSpaceDN/>
        <w:bidi w:val="0"/>
        <w:adjustRightInd/>
        <w:spacing w:line="460" w:lineRule="exact"/>
        <w:ind w:firstLine="527"/>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十一、履约保证金要求</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中标单位需向采购单位缴纳中标金额的10%作为履约保证金。保证金到账后，双方签订正式合同。</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kern w:val="0"/>
          <w:sz w:val="24"/>
          <w:szCs w:val="24"/>
          <w:lang w:val="en-US" w:eastAsia="zh-CN" w:bidi="ar"/>
        </w:rPr>
      </w:pPr>
      <w:r>
        <w:rPr>
          <w:rFonts w:hint="eastAsia" w:asciiTheme="minorEastAsia" w:hAnsiTheme="minorEastAsia" w:eastAsiaTheme="minorEastAsia" w:cstheme="minorEastAsia"/>
          <w:sz w:val="24"/>
          <w:szCs w:val="24"/>
          <w:lang w:val="en-US" w:eastAsia="zh-CN"/>
        </w:rPr>
        <w:t>合同履行完毕，当中标单位圆满完成合同规定的所有义务和责任后，履约保证金在28天内予以如数</w:t>
      </w:r>
      <w:r>
        <w:rPr>
          <w:rFonts w:hint="eastAsia" w:ascii="宋体" w:hAnsi="宋体" w:eastAsia="宋体" w:cs="宋体"/>
          <w:b w:val="0"/>
          <w:kern w:val="0"/>
          <w:sz w:val="24"/>
          <w:szCs w:val="24"/>
          <w:lang w:val="en-US" w:eastAsia="zh-CN" w:bidi="ar"/>
        </w:rPr>
        <w:t>退还。如果因不可抗力等因素导致合同解除，履约保证金在28天内如数退还。</w:t>
      </w:r>
    </w:p>
    <w:p>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中标单位不履行与招标人订立的合同的，履约保证金不予退还，给采购单位造成的损失超过履约保证金数额的，还应当对超过部分予以赔偿；没有提交履约保证金的，应当对采购单位的损失承担赔偿责任；如中标单位在履行合同期间，无法完成采购单位任务，不能达到采购单位要求，给采购单位带来损失，影响相关工作进展，采购单位有权按照任务单项结算价格，对履约保证金进行扣除。</w:t>
      </w:r>
    </w:p>
    <w:p>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合同部分履行：如果合同部分履行，履约保证金按照已履行合同金额与总合同金额的占比退还已履行部分的金额。</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p>
    <w:p>
      <w:pPr>
        <w:pStyle w:val="4"/>
        <w:pageBreakBefore w:val="0"/>
        <w:kinsoku/>
        <w:wordWrap/>
        <w:overflowPunct/>
        <w:topLinePunct w:val="0"/>
        <w:autoSpaceDE/>
        <w:autoSpaceDN/>
        <w:bidi w:val="0"/>
        <w:adjustRightInd/>
        <w:spacing w:line="460" w:lineRule="exact"/>
        <w:ind w:firstLine="527"/>
        <w:textAlignment w:val="auto"/>
        <w:rPr>
          <w:rFonts w:hint="eastAsia" w:asciiTheme="minorEastAsia" w:hAnsiTheme="minorEastAsia" w:eastAsiaTheme="minorEastAsia" w:cstheme="minorEastAsia"/>
          <w:sz w:val="24"/>
          <w:szCs w:val="24"/>
        </w:rPr>
      </w:pPr>
      <w:bookmarkStart w:id="16" w:name="_Toc102227322"/>
      <w:bookmarkStart w:id="17" w:name="_Toc372538158"/>
      <w:bookmarkStart w:id="18" w:name="_Toc187655634"/>
      <w:r>
        <w:rPr>
          <w:rFonts w:hint="eastAsia" w:asciiTheme="minorEastAsia" w:hAnsiTheme="minorEastAsia" w:eastAsiaTheme="minorEastAsia" w:cstheme="minorEastAsia"/>
          <w:sz w:val="24"/>
          <w:szCs w:val="24"/>
          <w:lang w:eastAsia="zh-CN"/>
        </w:rPr>
        <w:t>十</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、签订</w:t>
      </w:r>
      <w:bookmarkEnd w:id="16"/>
      <w:r>
        <w:rPr>
          <w:rFonts w:hint="eastAsia" w:asciiTheme="minorEastAsia" w:hAnsiTheme="minorEastAsia" w:eastAsiaTheme="minorEastAsia" w:cstheme="minorEastAsia"/>
          <w:sz w:val="24"/>
          <w:szCs w:val="24"/>
        </w:rPr>
        <w:t>合同</w:t>
      </w:r>
      <w:bookmarkEnd w:id="17"/>
      <w:bookmarkEnd w:id="18"/>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1、中标单位按《中标通知书》指定时间、地点与采购单位签订采购合同。</w:t>
      </w:r>
    </w:p>
    <w:p>
      <w:pPr>
        <w:pageBreakBefore w:val="0"/>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2、本询比文件、中标单位的投标文件及有效承诺文件等，均为签订合同的依据。</w:t>
      </w:r>
    </w:p>
    <w:p>
      <w:pPr>
        <w:pStyle w:val="4"/>
        <w:pageBreakBefore w:val="0"/>
        <w:kinsoku/>
        <w:wordWrap/>
        <w:overflowPunct/>
        <w:topLinePunct w:val="0"/>
        <w:autoSpaceDE/>
        <w:autoSpaceDN/>
        <w:bidi w:val="0"/>
        <w:adjustRightInd/>
        <w:spacing w:line="460" w:lineRule="exact"/>
        <w:ind w:firstLine="527"/>
        <w:textAlignment w:val="auto"/>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十二、采购执行</w:t>
      </w:r>
    </w:p>
    <w:p>
      <w:pPr>
        <w:pageBreakBefore w:val="0"/>
        <w:kinsoku/>
        <w:wordWrap/>
        <w:overflowPunct/>
        <w:topLinePunct w:val="0"/>
        <w:autoSpaceDE/>
        <w:autoSpaceDN/>
        <w:bidi w:val="0"/>
        <w:spacing w:beforeAutospacing="0" w:afterAutospacing="0" w:line="360" w:lineRule="auto"/>
        <w:ind w:left="0" w:leftChars="0" w:right="0"/>
        <w:rPr>
          <w:rFonts w:hint="eastAsia" w:ascii="宋体" w:hAnsi="宋体" w:cs="Arial"/>
          <w:color w:val="auto"/>
          <w:sz w:val="24"/>
          <w:szCs w:val="24"/>
          <w:lang w:val="en-US"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宋体" w:hAnsi="宋体" w:cs="Arial"/>
          <w:color w:val="auto"/>
          <w:sz w:val="24"/>
          <w:szCs w:val="24"/>
          <w:lang w:val="en-US" w:eastAsia="zh-CN"/>
        </w:rPr>
        <w:t>1、投标单位中标后，应按照本</w:t>
      </w:r>
      <w:r>
        <w:rPr>
          <w:rFonts w:hint="eastAsia" w:ascii="宋体" w:hAnsi="宋体" w:cs="Arial"/>
          <w:color w:val="auto"/>
          <w:sz w:val="24"/>
          <w:szCs w:val="24"/>
        </w:rPr>
        <w:t>询</w:t>
      </w:r>
      <w:r>
        <w:rPr>
          <w:rFonts w:hint="eastAsia" w:ascii="宋体" w:hAnsi="宋体" w:cs="Arial"/>
          <w:color w:val="auto"/>
          <w:sz w:val="24"/>
          <w:szCs w:val="24"/>
          <w:lang w:eastAsia="zh-CN"/>
        </w:rPr>
        <w:t>比</w:t>
      </w:r>
      <w:r>
        <w:rPr>
          <w:rFonts w:hint="eastAsia" w:ascii="宋体" w:hAnsi="宋体" w:cs="Arial"/>
          <w:color w:val="auto"/>
          <w:sz w:val="24"/>
          <w:szCs w:val="24"/>
          <w:lang w:val="en-US" w:eastAsia="zh-CN"/>
        </w:rPr>
        <w:t>文件要求在中标通知书发出之日起30日内和采购单位签订合同，保质保量完成采购任务；</w:t>
      </w:r>
    </w:p>
    <w:p>
      <w:pPr>
        <w:pageBreakBefore w:val="0"/>
        <w:kinsoku/>
        <w:wordWrap/>
        <w:overflowPunct/>
        <w:topLinePunct w:val="0"/>
        <w:autoSpaceDE/>
        <w:autoSpaceDN/>
        <w:bidi w:val="0"/>
        <w:spacing w:beforeAutospacing="0" w:afterAutospacing="0" w:line="360" w:lineRule="auto"/>
        <w:ind w:left="0" w:leftChars="0" w:right="0"/>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 xml:space="preserve">   2、本</w:t>
      </w:r>
      <w:r>
        <w:rPr>
          <w:rFonts w:hint="eastAsia" w:ascii="宋体" w:hAnsi="宋体" w:cs="Arial"/>
          <w:color w:val="auto"/>
          <w:sz w:val="24"/>
          <w:szCs w:val="24"/>
        </w:rPr>
        <w:t>询</w:t>
      </w:r>
      <w:r>
        <w:rPr>
          <w:rFonts w:hint="eastAsia" w:ascii="宋体" w:hAnsi="宋体" w:cs="Arial"/>
          <w:color w:val="auto"/>
          <w:sz w:val="24"/>
          <w:szCs w:val="24"/>
          <w:lang w:eastAsia="zh-CN"/>
        </w:rPr>
        <w:t>比</w:t>
      </w:r>
      <w:r>
        <w:rPr>
          <w:rFonts w:hint="eastAsia" w:ascii="宋体" w:hAnsi="宋体" w:cs="Arial"/>
          <w:color w:val="auto"/>
          <w:sz w:val="24"/>
          <w:szCs w:val="24"/>
          <w:lang w:val="en-US" w:eastAsia="zh-CN"/>
        </w:rPr>
        <w:t>文件中未提到的采购内容或者采购内容局部调整，双方本着公平公正的原则友好协商解决；</w:t>
      </w:r>
    </w:p>
    <w:p>
      <w:pPr>
        <w:pageBreakBefore w:val="0"/>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3、投标单位中标后因自身原因不能按时保质保量完成采购任务</w:t>
      </w:r>
      <w:r>
        <w:rPr>
          <w:rFonts w:hint="eastAsia" w:asciiTheme="minorEastAsia" w:hAnsiTheme="minorEastAsia" w:cstheme="minorEastAsia"/>
          <w:sz w:val="24"/>
          <w:szCs w:val="24"/>
          <w:lang w:eastAsia="zh-CN"/>
        </w:rPr>
        <w:t>，</w:t>
      </w:r>
      <w:r>
        <w:rPr>
          <w:rFonts w:hint="eastAsia" w:ascii="宋体" w:hAnsi="宋体" w:cs="Arial"/>
          <w:sz w:val="24"/>
          <w:szCs w:val="24"/>
          <w:lang w:val="en-US" w:eastAsia="zh-CN"/>
        </w:rPr>
        <w:t>采购单位有权要求中标单位赔偿全部损失。</w:t>
      </w:r>
      <w:r>
        <w:rPr>
          <w:rFonts w:hint="eastAsia" w:asciiTheme="minorEastAsia" w:hAnsiTheme="minorEastAsia" w:eastAsiaTheme="minorEastAsia" w:cstheme="minorEastAsia"/>
          <w:sz w:val="24"/>
          <w:szCs w:val="24"/>
        </w:rPr>
        <w:t xml:space="preserve">      </w:t>
      </w:r>
    </w:p>
    <w:p>
      <w:pPr>
        <w:tabs>
          <w:tab w:val="left" w:pos="6300"/>
        </w:tabs>
        <w:snapToGrid w:val="0"/>
        <w:spacing w:line="360" w:lineRule="auto"/>
        <w:rPr>
          <w:rFonts w:hint="eastAsia" w:ascii="宋体" w:hAnsi="宋体" w:cs="Arial"/>
          <w:sz w:val="24"/>
          <w:szCs w:val="24"/>
          <w:lang w:val="en-US" w:eastAsia="zh-CN"/>
        </w:rPr>
      </w:pPr>
    </w:p>
    <w:p>
      <w:pPr>
        <w:pStyle w:val="3"/>
        <w:jc w:val="center"/>
        <w:rPr>
          <w:rFonts w:hint="eastAsia" w:ascii="宋体" w:hAnsi="宋体" w:eastAsia="宋体" w:cs="Arial"/>
          <w:sz w:val="36"/>
        </w:rPr>
      </w:pPr>
      <w:bookmarkStart w:id="19" w:name="_Toc25725122"/>
      <w:bookmarkStart w:id="20" w:name="_Toc372538159"/>
      <w:bookmarkStart w:id="21" w:name="_Toc11641054"/>
      <w:r>
        <w:rPr>
          <w:rFonts w:hint="eastAsia" w:ascii="宋体" w:hAnsi="宋体" w:eastAsia="宋体" w:cs="Arial"/>
          <w:sz w:val="36"/>
        </w:rPr>
        <w:t>第三篇  采购项目</w:t>
      </w:r>
      <w:r>
        <w:rPr>
          <w:rFonts w:hint="eastAsia" w:ascii="宋体" w:hAnsi="宋体" w:eastAsia="宋体" w:cs="Arial"/>
          <w:sz w:val="36"/>
          <w:lang w:eastAsia="zh-CN"/>
        </w:rPr>
        <w:t>内容</w:t>
      </w:r>
      <w:r>
        <w:rPr>
          <w:rFonts w:hint="eastAsia" w:ascii="宋体" w:hAnsi="宋体" w:eastAsia="宋体" w:cs="Arial"/>
          <w:sz w:val="36"/>
        </w:rPr>
        <w:t>及技术要求</w:t>
      </w:r>
      <w:bookmarkEnd w:id="19"/>
      <w:bookmarkEnd w:id="20"/>
      <w:bookmarkEnd w:id="21"/>
    </w:p>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color w:val="auto"/>
          <w:sz w:val="24"/>
          <w:szCs w:val="24"/>
        </w:rPr>
      </w:pPr>
      <w:r>
        <w:rPr>
          <w:rFonts w:hint="eastAsia"/>
          <w:lang w:val="en-US" w:eastAsia="zh-CN"/>
        </w:rPr>
        <w:t xml:space="preserve"> </w:t>
      </w:r>
      <w:r>
        <w:rPr>
          <w:rFonts w:hint="eastAsia"/>
          <w:color w:val="FF0000"/>
          <w:lang w:val="en-US" w:eastAsia="zh-CN"/>
        </w:rPr>
        <w:t xml:space="preserve">  </w:t>
      </w:r>
      <w:r>
        <w:rPr>
          <w:rFonts w:hint="eastAsia" w:asciiTheme="minorEastAsia" w:hAnsiTheme="minorEastAsia" w:eastAsiaTheme="minorEastAsia" w:cstheme="minorEastAsia"/>
          <w:color w:val="FF0000"/>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重庆中国三峡博物馆位于渝中区人民路236号，具有文物研究、展示的职能。2019年至2021年间，重庆中国三峡博物馆（以下简称“三峡博物馆”）藏品部组织实施了藏品档案数字化与系统升级服务项目，初步构建起藏品档案数字化管理体系，为本馆藏品档案数字化奠定了坚实基础，并为后续的研究、展览、教育等多方面利用提供了有力支持。上一阶段数字化工作覆盖的档案收集时间范围为1951年至2019年。在此后6年间，藏品业务档案持续增加，新增藏品档案约2.5万页、馆藏古籍约2万页、古籍登记卡约3500张。为进一步完善档案资源体系，提升档案管理的科学性与利用效率，现决定启动新一轮数字化整理工作，以实现藏品档案的系统化管理和可持续利用。</w:t>
      </w:r>
    </w:p>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一、投标单位要求</w:t>
      </w:r>
    </w:p>
    <w:p>
      <w:pPr>
        <w:keepNext w:val="0"/>
        <w:keepLines w:val="0"/>
        <w:pageBreakBefore w:val="0"/>
        <w:kinsoku/>
        <w:wordWrap/>
        <w:overflowPunct/>
        <w:topLinePunct w:val="0"/>
        <w:autoSpaceDE/>
        <w:autoSpaceDN/>
        <w:bidi w:val="0"/>
        <w:adjustRightInd/>
        <w:snapToGrid/>
        <w:spacing w:line="46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1、营业执照经营范围或者法人证书服务范围具有完成本项目的内容。</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2、本项目不接受联合体投标。</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 </w:t>
      </w:r>
      <w:r>
        <w:rPr>
          <w:rFonts w:hint="eastAsia" w:asciiTheme="minorEastAsia" w:hAnsiTheme="minorEastAsia" w:cstheme="minorEastAsia"/>
          <w:color w:val="auto"/>
          <w:sz w:val="24"/>
          <w:szCs w:val="24"/>
          <w:lang w:eastAsia="zh-CN"/>
        </w:rPr>
        <w:t>项目</w:t>
      </w:r>
      <w:r>
        <w:rPr>
          <w:rFonts w:hint="eastAsia" w:asciiTheme="minorEastAsia" w:hAnsiTheme="minorEastAsia" w:eastAsiaTheme="minorEastAsia" w:cstheme="minorEastAsia"/>
          <w:color w:val="auto"/>
          <w:sz w:val="24"/>
          <w:szCs w:val="24"/>
        </w:rPr>
        <w:t>内容</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本项目主要对2020年至2025年间产生的约2.5万页的藏品档案（包括2020年之前尚未收集完整的档案）和约2万页的馆藏古籍及其纸质登记卡进行系统整理与数字化加工。</w:t>
      </w:r>
    </w:p>
    <w:p>
      <w:pPr>
        <w:keepNext w:val="0"/>
        <w:keepLines w:val="0"/>
        <w:pageBreakBefore w:val="0"/>
        <w:numPr>
          <w:ilvl w:val="0"/>
          <w:numId w:val="6"/>
        </w:numPr>
        <w:kinsoku/>
        <w:wordWrap/>
        <w:overflowPunct/>
        <w:topLinePunct w:val="0"/>
        <w:autoSpaceDE/>
        <w:autoSpaceDN/>
        <w:bidi w:val="0"/>
        <w:adjustRightInd/>
        <w:snapToGrid/>
        <w:spacing w:line="4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藏品档案整理及数字化：约2.5万页，主要包括档案整理、分类、排序、裱糊、编制页码、扫描、条目著录、打印目录、案卷装订、书写案卷信息及数据综合挂接等工作内容，需提供档案盒、卷皮等耗材。</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2.馆藏古籍整理及数字化：约2万页古籍，3500张古籍登记卡，主要包括古籍的整理、编码、扫描、条目著录及数据挂接等，古籍登记卡的扫描、识读及建立对应的电子账。</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三、工作要求</w:t>
      </w:r>
    </w:p>
    <w:p>
      <w:pPr>
        <w:pStyle w:val="9"/>
        <w:pageBreakBefore w:val="0"/>
        <w:kinsoku/>
        <w:wordWrap/>
        <w:overflowPunct/>
        <w:topLinePunct w:val="0"/>
        <w:bidi w:val="0"/>
        <w:spacing w:after="0" w:line="5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（一）整理要求</w:t>
      </w:r>
    </w:p>
    <w:p>
      <w:pPr>
        <w:pStyle w:val="9"/>
        <w:pageBreakBefore w:val="0"/>
        <w:kinsoku/>
        <w:wordWrap/>
        <w:overflowPunct/>
        <w:topLinePunct w:val="0"/>
        <w:bidi w:val="0"/>
        <w:spacing w:after="0" w:line="5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档案分类准确、材料齐全、信息完整、编排有序、装订规范。</w:t>
      </w:r>
    </w:p>
    <w:p>
      <w:pPr>
        <w:pStyle w:val="9"/>
        <w:pageBreakBefore w:val="0"/>
        <w:kinsoku/>
        <w:wordWrap/>
        <w:overflowPunct/>
        <w:topLinePunct w:val="0"/>
        <w:bidi w:val="0"/>
        <w:spacing w:after="0" w:line="5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（二）扫描要求</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1.扫描方式：</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根据档案幅面的大小（A4、A3、A2、A1、B5等）选择相应规格的扫描仪进行扫描。</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2.扫描色彩模式：</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一般情况下使用彩色模式扫描。</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3.扫描分辨率与文件命名：</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扫描分辨率为300dpi；特殊情况下，如文字偏小、密集、清晰度较差等，可适当提高分辨率。</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文件扩展名均为.jpg。</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4.图像处理：</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a.图像数据质量检查：对图像偏斜度、清晰度、失真度等进行检查。发现不符合图像质量要求时，重新进行图像的处理；发现扫描的图像文件不完整或无法清晰识别或无法读取时，应重新扫描；发现文件漏扫时，应及时补扫并正确插入图像；发现扫描图像的排列顺序与档案原件不一致时，应及时进行调整。</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b.纠偏：对扫描过程中出现的偏斜图像进行整体纠正，保证数字图像偏斜不超过页面内半个文字，偏斜角度小于1度。对方向不正确的图像应进行旋转还原。</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c.去污：去除数字图像中影响可懂度的杂质，如黑点、黑线、黑框、黑边等应进行去污处理。</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d.图像拼接：对大幅面档案进行分区扫描形成的多幅图像，进行拼接处理，合并为一个完整的图像，以保证档案数字化图像的整体性。</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e.裁边处理：对扫描形成的图像应进行裁边处理，去除多余的白边，以有效缩小图像文件的容量。</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f.使用国产正版加工应用软件。</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g.保证档案内容与档案载体的安全，档案不丢失、泄密、损坏，做好相应电子数据的多套备份。</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5.图像存储：</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a.存储格式：采用灰度模式和彩色模式扫描的文件，采用JPG格式存储。</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b.图像文件夹的命名：纸质档案目录数据库中的每一条案卷数据，都有一个与之相对应的唯一档号文件夹，该文件夹存储该条数据对应的所有文件，所有文件夹应当按需求逐级进行命名。</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6.数据挂接：</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档案数字化转换过程中形成的图像数据库与条目数据库，经双方数量确认、质检环节确认为“合格”后，通过有效方式挂接至档案系统，做到档案条目数据和档案原文数据的一一对应，对应率达100%。</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 xml:space="preserve">（二）古籍数字化处理工作  </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对重庆中国三峡博物馆提供的约2万页古籍、3500张古籍登记卡进行数字化加工，古籍数字化服务工作场地由重庆中国三峡博物馆提供，供应商自带全部工程设备，严格遵守采购单位管理规章及保密要求，保证古籍安全。成果要求如下：</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扫描输出模式：24位彩色</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扫描分辨率：300×300DPI以上</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文件保存格式：TIFF格式</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文件发布格式：JPG格式</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古籍扫描使用零边距扫描仪或非接触式扫描仪，不进行拆卷处理。</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扫描程序、图像处理、著录挂接等参照相关标准执行。</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图像采集时由于不能拆卷，完整的筒子叶被分为两个单页采集，需对前后两页图像进行拼接处理。拼接后，版心题名、栏线、鱼尾等必须齐整，还原古籍原貌。每册古籍最终拼合的筒子叶要求尺寸一致。</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图像数据的格式规格、文件命名、图像处理、压缩方式等符合要求，其综合错误率不超过1‰。发布文件须挂接重庆中国三峡博物馆已有古籍数字化平台。</w:t>
      </w:r>
    </w:p>
    <w:p>
      <w:pPr>
        <w:keepNext w:val="0"/>
        <w:keepLines w:val="0"/>
        <w:pageBreakBefore w:val="0"/>
        <w:kinsoku/>
        <w:wordWrap/>
        <w:overflowPunct/>
        <w:topLinePunct w:val="0"/>
        <w:autoSpaceDE/>
        <w:autoSpaceDN/>
        <w:bidi w:val="0"/>
        <w:adjustRightInd/>
        <w:snapToGrid/>
        <w:spacing w:line="460" w:lineRule="exact"/>
        <w:ind w:firstLine="480" w:firstLineChars="200"/>
        <w:rPr>
          <w:rFonts w:hint="eastAsia" w:ascii="宋体" w:hAnsi="宋体" w:eastAsia="宋体" w:cs="Arial"/>
          <w:color w:val="auto"/>
          <w:sz w:val="36"/>
        </w:rPr>
      </w:pPr>
      <w:r>
        <w:rPr>
          <w:rFonts w:hint="eastAsia" w:asciiTheme="minorEastAsia" w:hAnsiTheme="minorEastAsia" w:cstheme="minorEastAsia"/>
          <w:color w:val="auto"/>
          <w:sz w:val="24"/>
          <w:szCs w:val="24"/>
          <w:lang w:eastAsia="zh-CN"/>
        </w:rPr>
        <w:t>古籍登记卡的扫描、识读及建立对应的电子账，电子账格式应符合编目要求</w:t>
      </w:r>
      <w:r>
        <w:rPr>
          <w:rFonts w:hint="eastAsia" w:asciiTheme="minorEastAsia" w:hAnsiTheme="minorEastAsia" w:cstheme="minorEastAsia"/>
          <w:color w:val="auto"/>
          <w:sz w:val="24"/>
          <w:szCs w:val="24"/>
          <w:lang w:val="en-US" w:eastAsia="zh-CN"/>
        </w:rPr>
        <w:t>，</w:t>
      </w:r>
      <w:r>
        <w:rPr>
          <w:rFonts w:hint="eastAsia" w:asciiTheme="minorEastAsia" w:hAnsiTheme="minorEastAsia" w:cstheme="minorEastAsia"/>
          <w:color w:val="auto"/>
          <w:sz w:val="24"/>
          <w:szCs w:val="24"/>
          <w:lang w:eastAsia="zh-CN"/>
        </w:rPr>
        <w:t>做到档案条目数据和档案原文数据的一一对应，对应率达100%。</w:t>
      </w:r>
      <w:bookmarkStart w:id="22" w:name="_Toc11641055"/>
      <w:bookmarkStart w:id="23" w:name="_Toc372538162"/>
      <w:bookmarkStart w:id="24" w:name="_Toc25725124"/>
    </w:p>
    <w:p>
      <w:pPr>
        <w:rPr>
          <w:rFonts w:hint="default" w:ascii="宋体" w:hAnsi="宋体" w:eastAsia="宋体" w:cs="Arial"/>
          <w:color w:val="auto"/>
          <w:sz w:val="36"/>
          <w:lang w:val="en-US" w:eastAsia="zh-CN"/>
        </w:rPr>
      </w:pPr>
    </w:p>
    <w:p>
      <w:pPr>
        <w:rPr>
          <w:rFonts w:hint="default" w:ascii="宋体" w:hAnsi="宋体" w:eastAsia="宋体" w:cs="Arial"/>
          <w:color w:val="auto"/>
          <w:sz w:val="36"/>
          <w:lang w:val="en-US" w:eastAsia="zh-CN"/>
        </w:rPr>
      </w:pPr>
    </w:p>
    <w:p>
      <w:pPr>
        <w:rPr>
          <w:rFonts w:hint="default" w:ascii="宋体" w:hAnsi="宋体" w:eastAsia="宋体" w:cs="Arial"/>
          <w:color w:val="auto"/>
          <w:sz w:val="36"/>
          <w:lang w:val="en-US" w:eastAsia="zh-CN"/>
        </w:rPr>
      </w:pPr>
    </w:p>
    <w:p>
      <w:pPr>
        <w:pStyle w:val="3"/>
        <w:jc w:val="center"/>
        <w:rPr>
          <w:rFonts w:hint="eastAsia" w:ascii="宋体" w:hAnsi="宋体" w:eastAsia="宋体" w:cs="Arial"/>
          <w:color w:val="auto"/>
          <w:sz w:val="36"/>
        </w:rPr>
      </w:pPr>
      <w:r>
        <w:rPr>
          <w:rFonts w:hint="eastAsia" w:ascii="宋体" w:hAnsi="宋体" w:eastAsia="宋体" w:cs="Arial"/>
          <w:color w:val="auto"/>
          <w:sz w:val="36"/>
        </w:rPr>
        <w:t>第四篇   商务要求</w:t>
      </w:r>
      <w:bookmarkEnd w:id="22"/>
      <w:bookmarkEnd w:id="23"/>
      <w:bookmarkEnd w:id="24"/>
    </w:p>
    <w:p>
      <w:pPr>
        <w:pStyle w:val="4"/>
        <w:pageBreakBefore w:val="0"/>
        <w:numPr>
          <w:ilvl w:val="0"/>
          <w:numId w:val="7"/>
        </w:numPr>
        <w:kinsoku/>
        <w:wordWrap/>
        <w:overflowPunct/>
        <w:topLinePunct w:val="0"/>
        <w:autoSpaceDE/>
        <w:autoSpaceDN/>
        <w:bidi w:val="0"/>
        <w:spacing w:before="0" w:beforeAutospacing="0" w:after="0" w:afterAutospacing="0" w:line="560" w:lineRule="exact"/>
        <w:ind w:firstLine="527"/>
        <w:textAlignment w:val="auto"/>
        <w:rPr>
          <w:rFonts w:hint="eastAsia" w:asciiTheme="minorEastAsia" w:hAnsiTheme="minorEastAsia" w:eastAsiaTheme="minorEastAsia" w:cstheme="minorEastAsia"/>
          <w:color w:val="auto"/>
          <w:sz w:val="24"/>
          <w:szCs w:val="24"/>
        </w:rPr>
      </w:pPr>
      <w:bookmarkStart w:id="25" w:name="_Toc344475120"/>
      <w:bookmarkStart w:id="26" w:name="_Toc498442539"/>
      <w:bookmarkStart w:id="27" w:name="_Toc480882274"/>
      <w:bookmarkStart w:id="28" w:name="_Toc25725133"/>
      <w:r>
        <w:rPr>
          <w:rFonts w:hint="eastAsia" w:asciiTheme="minorEastAsia" w:hAnsiTheme="minorEastAsia" w:eastAsiaTheme="minorEastAsia" w:cstheme="minorEastAsia"/>
          <w:color w:val="auto"/>
          <w:sz w:val="24"/>
          <w:szCs w:val="24"/>
        </w:rPr>
        <w:t>交货期、地点及验收方式</w:t>
      </w:r>
      <w:bookmarkEnd w:id="25"/>
      <w:bookmarkEnd w:id="26"/>
      <w:bookmarkEnd w:id="27"/>
    </w:p>
    <w:p>
      <w:pPr>
        <w:pageBreakBefore w:val="0"/>
        <w:widowControl/>
        <w:kinsoku/>
        <w:wordWrap/>
        <w:overflowPunct/>
        <w:topLinePunct w:val="0"/>
        <w:autoSpaceDE/>
        <w:autoSpaceDN/>
        <w:bidi w:val="0"/>
        <w:spacing w:beforeAutospacing="0" w:afterAutospacing="0" w:line="56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b w:val="0"/>
          <w:bCs w:val="0"/>
          <w:color w:val="auto"/>
          <w:sz w:val="24"/>
          <w:szCs w:val="24"/>
        </w:rPr>
        <w:t>一）交货</w:t>
      </w:r>
      <w:r>
        <w:rPr>
          <w:rFonts w:hint="eastAsia" w:asciiTheme="minorEastAsia" w:hAnsiTheme="minorEastAsia" w:eastAsiaTheme="minorEastAsia" w:cstheme="minorEastAsia"/>
          <w:color w:val="auto"/>
          <w:sz w:val="24"/>
          <w:szCs w:val="24"/>
        </w:rPr>
        <w:t>期</w:t>
      </w:r>
    </w:p>
    <w:p>
      <w:pPr>
        <w:pageBreakBefore w:val="0"/>
        <w:widowControl/>
        <w:kinsoku/>
        <w:wordWrap/>
        <w:overflowPunct/>
        <w:topLinePunct w:val="0"/>
        <w:autoSpaceDE/>
        <w:autoSpaceDN/>
        <w:bidi w:val="0"/>
        <w:spacing w:beforeAutospacing="0" w:afterAutospacing="0" w:line="56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FF0000"/>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2026年8月31日前完成所有工作。</w:t>
      </w:r>
    </w:p>
    <w:p>
      <w:pPr>
        <w:pageBreakBefore w:val="0"/>
        <w:widowControl/>
        <w:kinsoku/>
        <w:wordWrap/>
        <w:overflowPunct/>
        <w:topLinePunct w:val="0"/>
        <w:autoSpaceDE/>
        <w:autoSpaceDN/>
        <w:bidi w:val="0"/>
        <w:spacing w:beforeAutospacing="0" w:afterAutospacing="0" w:line="56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（二）地点</w:t>
      </w:r>
    </w:p>
    <w:p>
      <w:pPr>
        <w:pageBreakBefore w:val="0"/>
        <w:widowControl/>
        <w:kinsoku/>
        <w:wordWrap/>
        <w:overflowPunct/>
        <w:topLinePunct w:val="0"/>
        <w:autoSpaceDE/>
        <w:autoSpaceDN/>
        <w:bidi w:val="0"/>
        <w:spacing w:beforeAutospacing="0" w:afterAutospacing="0" w:line="56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重庆中国三峡博物馆。</w:t>
      </w:r>
    </w:p>
    <w:p>
      <w:pPr>
        <w:pageBreakBefore w:val="0"/>
        <w:widowControl/>
        <w:numPr>
          <w:ilvl w:val="0"/>
          <w:numId w:val="8"/>
        </w:numPr>
        <w:kinsoku/>
        <w:wordWrap/>
        <w:overflowPunct/>
        <w:topLinePunct w:val="0"/>
        <w:autoSpaceDE/>
        <w:autoSpaceDN/>
        <w:bidi w:val="0"/>
        <w:spacing w:beforeAutospacing="0" w:afterAutospacing="0" w:line="56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验收方式</w:t>
      </w:r>
    </w:p>
    <w:p>
      <w:pPr>
        <w:pageBreakBefore w:val="0"/>
        <w:widowControl/>
        <w:kinsoku/>
        <w:wordWrap/>
        <w:overflowPunct/>
        <w:topLinePunct w:val="0"/>
        <w:autoSpaceDE/>
        <w:autoSpaceDN/>
        <w:bidi w:val="0"/>
        <w:spacing w:beforeAutospacing="0" w:afterAutospacing="0" w:line="56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bookmarkStart w:id="29" w:name="_Toc498442540"/>
      <w:bookmarkStart w:id="30" w:name="_Toc480882275"/>
      <w:bookmarkStart w:id="31" w:name="_Toc344475121"/>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cstheme="minorEastAsia"/>
          <w:color w:val="auto"/>
          <w:sz w:val="24"/>
          <w:szCs w:val="24"/>
          <w:lang w:val="en-US" w:eastAsia="zh-CN"/>
        </w:rPr>
        <w:t>采购单位</w:t>
      </w:r>
      <w:r>
        <w:rPr>
          <w:rFonts w:hint="eastAsia" w:asciiTheme="minorEastAsia" w:hAnsiTheme="minorEastAsia" w:eastAsiaTheme="minorEastAsia" w:cstheme="minorEastAsia"/>
          <w:color w:val="auto"/>
          <w:sz w:val="24"/>
          <w:szCs w:val="24"/>
        </w:rPr>
        <w:t>按照</w:t>
      </w:r>
      <w:r>
        <w:rPr>
          <w:rFonts w:hint="eastAsia" w:asciiTheme="minorEastAsia" w:hAnsiTheme="minorEastAsia" w:eastAsiaTheme="minorEastAsia" w:cstheme="minorEastAsia"/>
          <w:color w:val="auto"/>
          <w:sz w:val="24"/>
          <w:szCs w:val="24"/>
          <w:lang w:val="en-US" w:eastAsia="zh-CN"/>
        </w:rPr>
        <w:t>第三篇</w:t>
      </w:r>
      <w:r>
        <w:rPr>
          <w:rFonts w:hint="eastAsia" w:asciiTheme="minorEastAsia" w:hAnsiTheme="minorEastAsia" w:eastAsiaTheme="minorEastAsia" w:cstheme="minorEastAsia"/>
          <w:color w:val="auto"/>
          <w:sz w:val="24"/>
          <w:szCs w:val="24"/>
        </w:rPr>
        <w:t>技术</w:t>
      </w:r>
      <w:r>
        <w:rPr>
          <w:rFonts w:hint="eastAsia" w:asciiTheme="minorEastAsia" w:hAnsiTheme="minorEastAsia" w:eastAsiaTheme="minorEastAsia" w:cstheme="minorEastAsia"/>
          <w:color w:val="auto"/>
          <w:sz w:val="24"/>
          <w:szCs w:val="24"/>
          <w:lang w:val="en-US" w:eastAsia="zh-CN"/>
        </w:rPr>
        <w:t>要求</w:t>
      </w:r>
      <w:r>
        <w:rPr>
          <w:rFonts w:hint="eastAsia" w:asciiTheme="minorEastAsia" w:hAnsiTheme="minorEastAsia" w:eastAsiaTheme="minorEastAsia" w:cstheme="minorEastAsia"/>
          <w:color w:val="auto"/>
          <w:sz w:val="24"/>
          <w:szCs w:val="24"/>
        </w:rPr>
        <w:t>、数量及质量要求进行验收。</w:t>
      </w:r>
    </w:p>
    <w:p>
      <w:pPr>
        <w:pageBreakBefore w:val="0"/>
        <w:widowControl/>
        <w:kinsoku/>
        <w:wordWrap/>
        <w:overflowPunct/>
        <w:topLinePunct w:val="0"/>
        <w:autoSpaceDE/>
        <w:autoSpaceDN/>
        <w:bidi w:val="0"/>
        <w:spacing w:beforeAutospacing="0" w:afterAutospacing="0" w:line="560" w:lineRule="exact"/>
        <w:jc w:val="left"/>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FF0000"/>
          <w:sz w:val="24"/>
          <w:szCs w:val="24"/>
        </w:rPr>
        <w:t xml:space="preserve">  </w:t>
      </w:r>
      <w:r>
        <w:rPr>
          <w:rFonts w:hint="eastAsia" w:asciiTheme="minorEastAsia" w:hAnsiTheme="minorEastAsia" w:eastAsiaTheme="minorEastAsia" w:cstheme="minorEastAsia"/>
          <w:b/>
          <w:color w:val="FF0000"/>
          <w:sz w:val="24"/>
          <w:szCs w:val="24"/>
        </w:rPr>
        <w:t xml:space="preserve">  </w:t>
      </w:r>
      <w:r>
        <w:rPr>
          <w:rFonts w:hint="eastAsia" w:asciiTheme="minorEastAsia" w:hAnsiTheme="minorEastAsia" w:eastAsiaTheme="minorEastAsia" w:cstheme="minorEastAsia"/>
          <w:b/>
          <w:color w:val="auto"/>
          <w:sz w:val="24"/>
          <w:szCs w:val="24"/>
        </w:rPr>
        <w:t>二、质量保证</w:t>
      </w:r>
      <w:bookmarkEnd w:id="29"/>
      <w:bookmarkEnd w:id="30"/>
      <w:bookmarkEnd w:id="31"/>
    </w:p>
    <w:bookmarkEnd w:id="28"/>
    <w:p>
      <w:pPr>
        <w:pageBreakBefore w:val="0"/>
        <w:widowControl/>
        <w:kinsoku/>
        <w:wordWrap/>
        <w:overflowPunct/>
        <w:topLinePunct w:val="0"/>
        <w:autoSpaceDE/>
        <w:autoSpaceDN/>
        <w:bidi w:val="0"/>
        <w:spacing w:beforeAutospacing="0" w:afterAutospacing="0" w:line="560" w:lineRule="exact"/>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质量保证期自项目验收交付之日起不少于一年，质量保证期内发生的问题，由中标人负责免费解决，且费用包含在投标总价中；</w:t>
      </w:r>
    </w:p>
    <w:p>
      <w:pPr>
        <w:pageBreakBefore w:val="0"/>
        <w:widowControl/>
        <w:kinsoku/>
        <w:wordWrap/>
        <w:overflowPunct/>
        <w:topLinePunct w:val="0"/>
        <w:autoSpaceDE/>
        <w:autoSpaceDN/>
        <w:bidi w:val="0"/>
        <w:spacing w:beforeAutospacing="0" w:afterAutospacing="0" w:line="560" w:lineRule="exact"/>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rPr>
        <w:t>所有</w:t>
      </w:r>
      <w:r>
        <w:rPr>
          <w:rFonts w:hint="eastAsia" w:asciiTheme="minorEastAsia" w:hAnsiTheme="minorEastAsia" w:eastAsiaTheme="minorEastAsia" w:cstheme="minorEastAsia"/>
          <w:bCs/>
          <w:color w:val="auto"/>
          <w:sz w:val="24"/>
          <w:szCs w:val="24"/>
          <w:lang w:val="en-US" w:eastAsia="zh-CN"/>
        </w:rPr>
        <w:t>售后</w:t>
      </w:r>
      <w:r>
        <w:rPr>
          <w:rFonts w:hint="eastAsia" w:asciiTheme="minorEastAsia" w:hAnsiTheme="minorEastAsia" w:eastAsiaTheme="minorEastAsia" w:cstheme="minorEastAsia"/>
          <w:bCs/>
          <w:color w:val="auto"/>
          <w:sz w:val="24"/>
          <w:szCs w:val="24"/>
        </w:rPr>
        <w:t>服务方式均为中标人上门</w:t>
      </w:r>
      <w:r>
        <w:rPr>
          <w:rFonts w:hint="eastAsia" w:asciiTheme="minorEastAsia" w:hAnsiTheme="minorEastAsia" w:eastAsiaTheme="minorEastAsia" w:cstheme="minorEastAsia"/>
          <w:bCs/>
          <w:color w:val="auto"/>
          <w:sz w:val="24"/>
          <w:szCs w:val="24"/>
          <w:lang w:val="en-US" w:eastAsia="zh-CN"/>
        </w:rPr>
        <w:t>售后</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由此产生的一切费用均由中标人承担；</w:t>
      </w:r>
    </w:p>
    <w:p>
      <w:pPr>
        <w:pageBreakBefore w:val="0"/>
        <w:widowControl/>
        <w:kinsoku/>
        <w:wordWrap/>
        <w:overflowPunct/>
        <w:topLinePunct w:val="0"/>
        <w:autoSpaceDE/>
        <w:autoSpaceDN/>
        <w:bidi w:val="0"/>
        <w:spacing w:beforeAutospacing="0" w:afterAutospacing="0" w:line="560" w:lineRule="exact"/>
        <w:ind w:firstLine="480" w:firstLineChars="20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Cs/>
          <w:color w:val="auto"/>
          <w:sz w:val="24"/>
          <w:szCs w:val="24"/>
          <w:lang w:val="en-US" w:eastAsia="zh-CN"/>
        </w:rPr>
        <w:t>3.</w:t>
      </w:r>
      <w:r>
        <w:rPr>
          <w:rFonts w:hint="eastAsia" w:asciiTheme="minorEastAsia" w:hAnsiTheme="minorEastAsia" w:eastAsiaTheme="minorEastAsia" w:cstheme="minorEastAsia"/>
          <w:bCs/>
          <w:color w:val="auto"/>
          <w:sz w:val="24"/>
          <w:szCs w:val="24"/>
        </w:rPr>
        <w:t>在接到</w:t>
      </w:r>
      <w:r>
        <w:rPr>
          <w:rFonts w:hint="eastAsia" w:asciiTheme="minorEastAsia" w:hAnsiTheme="minorEastAsia" w:eastAsiaTheme="minorEastAsia" w:cstheme="minorEastAsia"/>
          <w:bCs/>
          <w:color w:val="auto"/>
          <w:sz w:val="24"/>
          <w:szCs w:val="24"/>
          <w:lang w:val="en-US" w:eastAsia="zh-CN"/>
        </w:rPr>
        <w:t>售后需求</w:t>
      </w:r>
      <w:r>
        <w:rPr>
          <w:rFonts w:hint="eastAsia" w:asciiTheme="minorEastAsia" w:hAnsiTheme="minorEastAsia" w:eastAsiaTheme="minorEastAsia" w:cstheme="minorEastAsia"/>
          <w:bCs/>
          <w:color w:val="auto"/>
          <w:sz w:val="24"/>
          <w:szCs w:val="24"/>
        </w:rPr>
        <w:t>后4小时服务响应，72个小时内到现场处理</w:t>
      </w:r>
      <w:r>
        <w:rPr>
          <w:rFonts w:hint="eastAsia" w:asciiTheme="minorEastAsia" w:hAnsiTheme="minorEastAsia" w:eastAsiaTheme="minorEastAsia" w:cstheme="minorEastAsia"/>
          <w:bCs/>
          <w:color w:val="auto"/>
          <w:sz w:val="24"/>
          <w:szCs w:val="24"/>
          <w:lang w:eastAsia="zh-CN"/>
        </w:rPr>
        <w:t>。</w:t>
      </w:r>
    </w:p>
    <w:p>
      <w:pPr>
        <w:pStyle w:val="4"/>
        <w:pageBreakBefore w:val="0"/>
        <w:kinsoku/>
        <w:wordWrap/>
        <w:overflowPunct/>
        <w:topLinePunct w:val="0"/>
        <w:autoSpaceDE/>
        <w:autoSpaceDN/>
        <w:bidi w:val="0"/>
        <w:spacing w:before="0" w:beforeAutospacing="0" w:after="0" w:afterAutospacing="0" w:line="560" w:lineRule="exact"/>
        <w:ind w:firstLine="527"/>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2" w:name="_Toc480882276"/>
      <w:bookmarkStart w:id="33" w:name="_Toc498442541"/>
      <w:bookmarkStart w:id="34" w:name="_Toc344475122"/>
      <w:r>
        <w:rPr>
          <w:rFonts w:hint="eastAsia" w:asciiTheme="minorEastAsia" w:hAnsiTheme="minorEastAsia" w:eastAsiaTheme="minorEastAsia" w:cstheme="minorEastAsia"/>
          <w:color w:val="000000" w:themeColor="text1"/>
          <w:sz w:val="24"/>
          <w:szCs w:val="24"/>
          <w14:textFill>
            <w14:solidFill>
              <w14:schemeClr w14:val="tx1"/>
            </w14:solidFill>
          </w14:textFill>
        </w:rPr>
        <w:t>三、付款方式</w:t>
      </w:r>
      <w:bookmarkEnd w:id="32"/>
      <w:bookmarkEnd w:id="33"/>
      <w:bookmarkEnd w:id="34"/>
    </w:p>
    <w:p>
      <w:pPr>
        <w:pageBreakBefore w:val="0"/>
        <w:widowControl/>
        <w:kinsoku/>
        <w:wordWrap/>
        <w:overflowPunct/>
        <w:topLinePunct w:val="0"/>
        <w:autoSpaceDE/>
        <w:autoSpaceDN/>
        <w:bidi w:val="0"/>
        <w:spacing w:beforeAutospacing="0" w:afterAutospacing="0" w:line="560" w:lineRule="exact"/>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FF0000"/>
          <w:sz w:val="24"/>
          <w:szCs w:val="24"/>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bCs/>
          <w:color w:val="auto"/>
          <w:sz w:val="24"/>
          <w:szCs w:val="24"/>
          <w:lang w:val="en-US" w:eastAsia="zh-CN"/>
        </w:rPr>
        <w:t xml:space="preserve">  项目终验后</w:t>
      </w:r>
      <w:r>
        <w:rPr>
          <w:rFonts w:hint="eastAsia" w:asciiTheme="minorEastAsia" w:hAnsiTheme="minorEastAsia" w:cstheme="minorEastAsia"/>
          <w:bCs/>
          <w:color w:val="auto"/>
          <w:sz w:val="24"/>
          <w:szCs w:val="24"/>
          <w:lang w:val="en-US" w:eastAsia="zh-CN"/>
        </w:rPr>
        <w:t>采购单位</w:t>
      </w:r>
      <w:r>
        <w:rPr>
          <w:rFonts w:hint="eastAsia" w:asciiTheme="minorEastAsia" w:hAnsiTheme="minorEastAsia" w:eastAsiaTheme="minorEastAsia" w:cstheme="minorEastAsia"/>
          <w:bCs/>
          <w:color w:val="auto"/>
          <w:sz w:val="24"/>
          <w:szCs w:val="24"/>
          <w:lang w:val="en-US" w:eastAsia="zh-CN"/>
        </w:rPr>
        <w:t>一次性</w:t>
      </w:r>
      <w:r>
        <w:rPr>
          <w:rFonts w:hint="eastAsia" w:asciiTheme="minorEastAsia" w:hAnsiTheme="minorEastAsia" w:cstheme="minorEastAsia"/>
          <w:bCs/>
          <w:color w:val="auto"/>
          <w:sz w:val="24"/>
          <w:szCs w:val="24"/>
          <w:lang w:val="en-US" w:eastAsia="zh-CN"/>
        </w:rPr>
        <w:t>支付</w:t>
      </w:r>
      <w:r>
        <w:rPr>
          <w:rFonts w:hint="eastAsia" w:asciiTheme="minorEastAsia" w:hAnsiTheme="minorEastAsia" w:eastAsiaTheme="minorEastAsia" w:cstheme="minorEastAsia"/>
          <w:bCs/>
          <w:color w:val="auto"/>
          <w:sz w:val="24"/>
          <w:szCs w:val="24"/>
          <w:lang w:val="en-US" w:eastAsia="zh-CN"/>
        </w:rPr>
        <w:t>。</w:t>
      </w:r>
    </w:p>
    <w:p>
      <w:pPr>
        <w:pageBreakBefore w:val="0"/>
        <w:widowControl/>
        <w:kinsoku/>
        <w:wordWrap/>
        <w:overflowPunct/>
        <w:topLinePunct w:val="0"/>
        <w:autoSpaceDE/>
        <w:autoSpaceDN/>
        <w:bidi w:val="0"/>
        <w:spacing w:beforeAutospacing="0" w:afterAutospacing="0" w:line="560" w:lineRule="exact"/>
        <w:jc w:val="left"/>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FF0000"/>
          <w:sz w:val="24"/>
          <w:szCs w:val="24"/>
        </w:rPr>
        <w:t xml:space="preserve">  </w:t>
      </w:r>
      <w:r>
        <w:rPr>
          <w:rFonts w:hint="eastAsia" w:asciiTheme="minorEastAsia" w:hAnsiTheme="minorEastAsia" w:eastAsiaTheme="minorEastAsia" w:cstheme="minorEastAsia"/>
          <w:b/>
          <w:color w:val="FF0000"/>
          <w:sz w:val="24"/>
          <w:szCs w:val="24"/>
        </w:rPr>
        <w:t xml:space="preserve"> </w:t>
      </w:r>
      <w:r>
        <w:rPr>
          <w:rFonts w:hint="eastAsia" w:asciiTheme="minorEastAsia" w:hAnsiTheme="minorEastAsia" w:eastAsiaTheme="minorEastAsia" w:cstheme="minorEastAsia"/>
          <w:b/>
          <w:color w:val="000000" w:themeColor="text1"/>
          <w:sz w:val="24"/>
          <w:szCs w:val="24"/>
          <w14:textFill>
            <w14:solidFill>
              <w14:schemeClr w14:val="tx1"/>
            </w14:solidFill>
          </w14:textFill>
        </w:rPr>
        <w:t xml:space="preserve"> 四、知识产权</w:t>
      </w:r>
    </w:p>
    <w:p>
      <w:pPr>
        <w:pageBreakBefore w:val="0"/>
        <w:widowControl/>
        <w:kinsoku/>
        <w:wordWrap/>
        <w:overflowPunct/>
        <w:topLinePunct w:val="0"/>
        <w:autoSpaceDE/>
        <w:autoSpaceDN/>
        <w:bidi w:val="0"/>
        <w:spacing w:beforeAutospacing="0" w:afterAutospacing="0" w:line="560" w:lineRule="exact"/>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highlight w:val="none"/>
          <w:lang w:val="en-US" w:eastAsia="zh-CN"/>
        </w:rPr>
        <w:t>采购人在中华人民共和国境内使用投标人提供的货物及服务时免受第三方提出的侵犯其专利权或其它知识产权的起诉。如果第三方提出侵权指控，中标人应承担由此而引起的一切法律责任和费用。</w:t>
      </w:r>
      <w:bookmarkStart w:id="35" w:name="_Toc19885"/>
      <w:bookmarkStart w:id="36" w:name="_Toc10626"/>
      <w:r>
        <w:rPr>
          <w:rFonts w:hint="eastAsia" w:ascii="Times New Roman" w:hAnsi="Times New Roman" w:eastAsia="宋体"/>
          <w:bCs/>
          <w:color w:val="auto"/>
          <w:sz w:val="24"/>
          <w:szCs w:val="24"/>
        </w:rPr>
        <w:t>因本项目产生的知识产权归采购单位所有。</w:t>
      </w:r>
      <w:bookmarkEnd w:id="35"/>
      <w:bookmarkEnd w:id="36"/>
    </w:p>
    <w:p>
      <w:pPr>
        <w:pageBreakBefore w:val="0"/>
        <w:widowControl/>
        <w:kinsoku/>
        <w:wordWrap/>
        <w:overflowPunct/>
        <w:topLinePunct w:val="0"/>
        <w:autoSpaceDE/>
        <w:autoSpaceDN/>
        <w:bidi w:val="0"/>
        <w:spacing w:beforeAutospacing="0" w:afterAutospacing="0" w:line="560" w:lineRule="exact"/>
        <w:ind w:firstLine="482" w:firstLineChars="200"/>
        <w:jc w:val="left"/>
        <w:textAlignment w:val="auto"/>
        <w:rPr>
          <w:rFonts w:hint="eastAsia" w:asciiTheme="minorEastAsia" w:hAnsiTheme="minorEastAsia" w:eastAsiaTheme="minorEastAsia" w:cstheme="minorEastAsia"/>
          <w:b/>
          <w:color w:val="auto"/>
          <w:sz w:val="24"/>
          <w:szCs w:val="24"/>
        </w:rPr>
      </w:pPr>
      <w:bookmarkStart w:id="37" w:name="_Toc498442542"/>
      <w:r>
        <w:rPr>
          <w:rFonts w:hint="eastAsia" w:asciiTheme="minorEastAsia" w:hAnsiTheme="minorEastAsia" w:eastAsiaTheme="minorEastAsia" w:cstheme="minorEastAsia"/>
          <w:b/>
          <w:color w:val="auto"/>
          <w:sz w:val="24"/>
          <w:szCs w:val="24"/>
          <w:lang w:eastAsia="zh-CN"/>
        </w:rPr>
        <w:t>五</w:t>
      </w:r>
      <w:r>
        <w:rPr>
          <w:rFonts w:hint="eastAsia" w:asciiTheme="minorEastAsia" w:hAnsiTheme="minorEastAsia" w:eastAsiaTheme="minorEastAsia" w:cstheme="minorEastAsia"/>
          <w:b/>
          <w:color w:val="auto"/>
          <w:sz w:val="24"/>
          <w:szCs w:val="24"/>
        </w:rPr>
        <w:t>、付款单位</w:t>
      </w:r>
      <w:bookmarkEnd w:id="37"/>
    </w:p>
    <w:p>
      <w:pPr>
        <w:pageBreakBefore w:val="0"/>
        <w:widowControl/>
        <w:kinsoku/>
        <w:wordWrap/>
        <w:overflowPunct/>
        <w:topLinePunct w:val="0"/>
        <w:autoSpaceDE/>
        <w:autoSpaceDN/>
        <w:bidi w:val="0"/>
        <w:spacing w:beforeAutospacing="0" w:afterAutospacing="0" w:line="560" w:lineRule="exact"/>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4"/>
          <w:szCs w:val="24"/>
        </w:rPr>
        <w:t xml:space="preserve">    重庆中国三峡博物馆</w:t>
      </w:r>
    </w:p>
    <w:p>
      <w:pPr>
        <w:pStyle w:val="3"/>
        <w:pageBreakBefore w:val="0"/>
        <w:kinsoku/>
        <w:wordWrap/>
        <w:overflowPunct/>
        <w:topLinePunct w:val="0"/>
        <w:autoSpaceDE/>
        <w:autoSpaceDN/>
        <w:bidi w:val="0"/>
        <w:adjustRightInd/>
        <w:snapToGrid/>
        <w:spacing w:line="460" w:lineRule="exact"/>
        <w:jc w:val="center"/>
        <w:textAlignment w:val="auto"/>
        <w:rPr>
          <w:rFonts w:hint="eastAsia" w:ascii="宋体" w:hAnsi="宋体" w:eastAsia="宋体" w:cs="Arial"/>
          <w:sz w:val="28"/>
          <w:szCs w:val="28"/>
        </w:rPr>
      </w:pPr>
      <w:r>
        <w:rPr>
          <w:rFonts w:hint="eastAsia" w:ascii="宋体" w:hAnsi="宋体" w:eastAsia="宋体" w:cs="Arial"/>
          <w:sz w:val="24"/>
          <w:szCs w:val="24"/>
        </w:rPr>
        <w:br w:type="page"/>
      </w:r>
      <w:bookmarkStart w:id="38" w:name="_Toc25725135"/>
      <w:bookmarkStart w:id="39" w:name="_Toc372538173"/>
    </w:p>
    <w:p>
      <w:pPr>
        <w:pStyle w:val="3"/>
        <w:jc w:val="center"/>
        <w:rPr>
          <w:rFonts w:hint="eastAsia" w:ascii="宋体" w:hAnsi="宋体" w:eastAsia="宋体" w:cs="Arial"/>
          <w:sz w:val="36"/>
          <w:lang w:eastAsia="zh-CN"/>
        </w:rPr>
      </w:pPr>
      <w:r>
        <w:rPr>
          <w:rFonts w:hint="eastAsia" w:ascii="宋体" w:hAnsi="宋体" w:eastAsia="宋体" w:cs="Arial"/>
          <w:sz w:val="36"/>
          <w:lang w:eastAsia="zh-CN"/>
        </w:rPr>
        <w:t>第五篇</w:t>
      </w:r>
      <w:r>
        <w:rPr>
          <w:rFonts w:hint="eastAsia" w:ascii="宋体" w:hAnsi="宋体" w:eastAsia="宋体" w:cs="Arial"/>
          <w:sz w:val="36"/>
          <w:lang w:val="en-US" w:eastAsia="zh-CN"/>
        </w:rPr>
        <w:t xml:space="preserve">  </w:t>
      </w:r>
      <w:r>
        <w:rPr>
          <w:rFonts w:hint="eastAsia" w:ascii="宋体" w:hAnsi="宋体" w:eastAsia="宋体" w:cs="Arial"/>
          <w:sz w:val="36"/>
          <w:lang w:eastAsia="zh-CN"/>
        </w:rPr>
        <w:t>合同关键条款</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960" w:firstLineChars="400"/>
        <w:jc w:val="left"/>
        <w:textAlignment w:val="auto"/>
        <w:outlineLvl w:val="9"/>
        <w:rPr>
          <w:rFonts w:hint="eastAsia" w:ascii="宋体" w:hAnsi="宋体" w:cs="Arial"/>
          <w:sz w:val="24"/>
          <w:szCs w:val="24"/>
          <w:lang w:val="en-US" w:eastAsia="zh-CN"/>
        </w:rPr>
      </w:pPr>
      <w:r>
        <w:rPr>
          <w:rFonts w:hint="eastAsia" w:ascii="宋体" w:hAnsi="宋体" w:cs="Arial"/>
          <w:sz w:val="24"/>
          <w:szCs w:val="24"/>
          <w:lang w:val="en-US" w:eastAsia="zh-CN"/>
        </w:rPr>
        <w:t>其他未尽事宜由供需双方在采购合同中详细约定。</w:t>
      </w:r>
    </w:p>
    <w:p>
      <w:pPr>
        <w:pStyle w:val="3"/>
        <w:jc w:val="center"/>
        <w:rPr>
          <w:rFonts w:hint="eastAsia" w:ascii="宋体" w:hAnsi="宋体" w:eastAsia="宋体" w:cs="Arial"/>
          <w:sz w:val="28"/>
          <w:szCs w:val="28"/>
        </w:rPr>
      </w:pPr>
    </w:p>
    <w:p>
      <w:pPr>
        <w:pStyle w:val="3"/>
        <w:jc w:val="both"/>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rPr>
          <w:rFonts w:hint="eastAsia" w:ascii="宋体" w:hAnsi="宋体" w:eastAsia="宋体" w:cs="Arial"/>
          <w:sz w:val="28"/>
          <w:szCs w:val="28"/>
        </w:rPr>
      </w:pPr>
    </w:p>
    <w:p>
      <w:pPr>
        <w:numPr>
          <w:ilvl w:val="0"/>
          <w:numId w:val="0"/>
        </w:numPr>
        <w:spacing w:line="360" w:lineRule="auto"/>
        <w:jc w:val="center"/>
        <w:rPr>
          <w:rFonts w:hint="eastAsia" w:ascii="宋体" w:hAnsi="宋体" w:eastAsia="宋体" w:cs="Arial"/>
          <w:sz w:val="36"/>
        </w:rPr>
      </w:pPr>
    </w:p>
    <w:p>
      <w:pPr>
        <w:numPr>
          <w:ilvl w:val="0"/>
          <w:numId w:val="0"/>
        </w:numPr>
        <w:spacing w:line="360" w:lineRule="auto"/>
        <w:jc w:val="center"/>
        <w:rPr>
          <w:rFonts w:hint="eastAsia" w:ascii="宋体" w:hAnsi="宋体" w:eastAsia="宋体" w:cs="Arial"/>
          <w:sz w:val="36"/>
        </w:rPr>
      </w:pPr>
    </w:p>
    <w:p>
      <w:pPr>
        <w:numPr>
          <w:ilvl w:val="0"/>
          <w:numId w:val="0"/>
        </w:numPr>
        <w:spacing w:line="360" w:lineRule="auto"/>
        <w:jc w:val="center"/>
        <w:rPr>
          <w:rFonts w:hint="eastAsia" w:ascii="宋体" w:hAnsi="宋体" w:eastAsia="宋体" w:cs="Arial"/>
          <w:sz w:val="36"/>
        </w:rPr>
      </w:pPr>
    </w:p>
    <w:p>
      <w:pPr>
        <w:numPr>
          <w:ilvl w:val="0"/>
          <w:numId w:val="0"/>
        </w:numPr>
        <w:spacing w:line="360" w:lineRule="auto"/>
        <w:jc w:val="center"/>
        <w:rPr>
          <w:rFonts w:hint="eastAsia" w:ascii="宋体" w:hAnsi="宋体" w:eastAsia="宋体" w:cs="Arial"/>
          <w:b/>
          <w:bCs/>
          <w:sz w:val="36"/>
        </w:rPr>
      </w:pPr>
      <w:r>
        <w:rPr>
          <w:rFonts w:hint="eastAsia" w:ascii="宋体" w:hAnsi="宋体" w:eastAsia="宋体" w:cs="Arial"/>
          <w:b/>
          <w:bCs/>
          <w:sz w:val="36"/>
        </w:rPr>
        <w:t>第</w:t>
      </w:r>
      <w:r>
        <w:rPr>
          <w:rFonts w:hint="eastAsia" w:ascii="宋体" w:hAnsi="宋体" w:eastAsia="宋体" w:cs="Arial"/>
          <w:b/>
          <w:bCs/>
          <w:sz w:val="36"/>
          <w:lang w:eastAsia="zh-CN"/>
        </w:rPr>
        <w:t>六</w:t>
      </w:r>
      <w:r>
        <w:rPr>
          <w:rFonts w:hint="eastAsia" w:ascii="宋体" w:hAnsi="宋体" w:eastAsia="宋体" w:cs="Arial"/>
          <w:b/>
          <w:bCs/>
          <w:sz w:val="36"/>
        </w:rPr>
        <w:t xml:space="preserve">篇   </w:t>
      </w:r>
      <w:bookmarkEnd w:id="38"/>
      <w:bookmarkEnd w:id="39"/>
      <w:r>
        <w:rPr>
          <w:rFonts w:hint="eastAsia" w:ascii="宋体" w:hAnsi="宋体" w:eastAsia="宋体" w:cs="Arial"/>
          <w:b/>
          <w:bCs/>
          <w:sz w:val="36"/>
        </w:rPr>
        <w:t>供应商编制响应文件要求</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rFonts w:ascii="宋体" w:hAnsi="宋体" w:cs="Arial"/>
          <w:color w:val="auto"/>
          <w:sz w:val="24"/>
          <w:szCs w:val="24"/>
        </w:rPr>
      </w:pPr>
      <w:r>
        <w:rPr>
          <w:rFonts w:hint="eastAsia" w:ascii="宋体" w:hAnsi="宋体" w:cs="Arial"/>
          <w:color w:val="auto"/>
          <w:sz w:val="24"/>
          <w:szCs w:val="24"/>
        </w:rPr>
        <w:t>一、</w:t>
      </w:r>
      <w:r>
        <w:rPr>
          <w:rFonts w:hint="eastAsia" w:ascii="宋体" w:hAnsi="宋体" w:cs="Arial"/>
          <w:b/>
          <w:bCs/>
          <w:color w:val="auto"/>
          <w:sz w:val="24"/>
          <w:szCs w:val="24"/>
        </w:rPr>
        <w:t>资格文件</w:t>
      </w:r>
    </w:p>
    <w:p>
      <w:pPr>
        <w:keepNext w:val="0"/>
        <w:keepLines w:val="0"/>
        <w:pageBreakBefore w:val="0"/>
        <w:widowControl w:val="0"/>
        <w:numPr>
          <w:ilvl w:val="0"/>
          <w:numId w:val="9"/>
        </w:numPr>
        <w:kinsoku/>
        <w:wordWrap/>
        <w:overflowPunct/>
        <w:topLinePunct w:val="0"/>
        <w:autoSpaceDE/>
        <w:autoSpaceDN/>
        <w:bidi w:val="0"/>
        <w:adjustRightInd/>
        <w:spacing w:line="460" w:lineRule="exact"/>
        <w:ind w:left="708"/>
        <w:textAlignment w:val="auto"/>
        <w:outlineLvl w:val="9"/>
        <w:rPr>
          <w:rFonts w:ascii="宋体" w:hAnsi="宋体" w:cs="Arial"/>
          <w:color w:val="auto"/>
          <w:sz w:val="24"/>
          <w:szCs w:val="24"/>
        </w:rPr>
      </w:pPr>
      <w:r>
        <w:rPr>
          <w:rFonts w:hint="eastAsia" w:ascii="宋体" w:hAnsi="宋体" w:cs="Arial"/>
          <w:color w:val="auto"/>
          <w:sz w:val="24"/>
          <w:szCs w:val="24"/>
        </w:rPr>
        <w:t>营业执照或者法人证书复印件（加盖投标单位鲜章）</w:t>
      </w:r>
    </w:p>
    <w:p>
      <w:pPr>
        <w:keepNext w:val="0"/>
        <w:keepLines w:val="0"/>
        <w:pageBreakBefore w:val="0"/>
        <w:widowControl w:val="0"/>
        <w:numPr>
          <w:ilvl w:val="0"/>
          <w:numId w:val="9"/>
        </w:numPr>
        <w:kinsoku/>
        <w:wordWrap/>
        <w:overflowPunct/>
        <w:topLinePunct w:val="0"/>
        <w:autoSpaceDE/>
        <w:autoSpaceDN/>
        <w:bidi w:val="0"/>
        <w:adjustRightInd/>
        <w:spacing w:line="460" w:lineRule="exact"/>
        <w:ind w:left="708"/>
        <w:textAlignment w:val="auto"/>
        <w:outlineLvl w:val="9"/>
        <w:rPr>
          <w:rFonts w:ascii="宋体" w:hAnsi="宋体" w:cs="Arial"/>
          <w:color w:val="auto"/>
          <w:sz w:val="24"/>
          <w:szCs w:val="24"/>
        </w:rPr>
      </w:pPr>
      <w:r>
        <w:rPr>
          <w:rFonts w:hint="eastAsia" w:ascii="宋体" w:hAnsi="宋体" w:cs="Arial"/>
          <w:color w:val="auto"/>
          <w:sz w:val="24"/>
          <w:szCs w:val="24"/>
        </w:rPr>
        <w:t>法定代表人身份证明书（格式）或者法定代表人授权委托书（格式）</w:t>
      </w:r>
    </w:p>
    <w:p>
      <w:pPr>
        <w:keepNext w:val="0"/>
        <w:keepLines w:val="0"/>
        <w:pageBreakBefore w:val="0"/>
        <w:widowControl w:val="0"/>
        <w:numPr>
          <w:ilvl w:val="0"/>
          <w:numId w:val="9"/>
        </w:numPr>
        <w:kinsoku/>
        <w:wordWrap/>
        <w:overflowPunct/>
        <w:topLinePunct w:val="0"/>
        <w:autoSpaceDE/>
        <w:autoSpaceDN/>
        <w:bidi w:val="0"/>
        <w:adjustRightInd/>
        <w:spacing w:line="460" w:lineRule="exact"/>
        <w:ind w:left="708"/>
        <w:textAlignment w:val="auto"/>
        <w:outlineLvl w:val="9"/>
        <w:rPr>
          <w:rFonts w:ascii="宋体" w:hAnsi="宋体" w:cs="Arial"/>
          <w:color w:val="auto"/>
          <w:sz w:val="24"/>
          <w:szCs w:val="24"/>
        </w:rPr>
      </w:pPr>
      <w:r>
        <w:rPr>
          <w:rFonts w:hint="eastAsia" w:ascii="宋体" w:hAnsi="宋体" w:cs="Arial"/>
          <w:color w:val="auto"/>
          <w:sz w:val="24"/>
          <w:szCs w:val="24"/>
        </w:rPr>
        <w:t>诚信声明书（加盖投标单位鲜章）</w:t>
      </w:r>
    </w:p>
    <w:p>
      <w:pPr>
        <w:keepNext w:val="0"/>
        <w:keepLines w:val="0"/>
        <w:pageBreakBefore w:val="0"/>
        <w:widowControl w:val="0"/>
        <w:numPr>
          <w:ilvl w:val="0"/>
          <w:numId w:val="10"/>
        </w:numPr>
        <w:kinsoku/>
        <w:wordWrap/>
        <w:overflowPunct/>
        <w:topLinePunct w:val="0"/>
        <w:autoSpaceDE/>
        <w:autoSpaceDN/>
        <w:bidi w:val="0"/>
        <w:adjustRightInd/>
        <w:spacing w:line="460" w:lineRule="exact"/>
        <w:textAlignment w:val="auto"/>
        <w:outlineLvl w:val="9"/>
        <w:rPr>
          <w:rFonts w:hint="eastAsia" w:asciiTheme="minorEastAsia" w:hAnsiTheme="minorEastAsia" w:eastAsiaTheme="minorEastAsia" w:cstheme="minorEastAsia"/>
          <w:color w:val="auto"/>
          <w:sz w:val="24"/>
          <w:szCs w:val="24"/>
        </w:rPr>
      </w:pPr>
      <w:r>
        <w:rPr>
          <w:rFonts w:hint="eastAsia" w:ascii="宋体" w:hAnsi="宋体" w:cs="Arial"/>
          <w:b/>
          <w:bCs/>
          <w:color w:val="auto"/>
          <w:sz w:val="24"/>
          <w:szCs w:val="24"/>
        </w:rPr>
        <w:t>技术文件</w:t>
      </w:r>
    </w:p>
    <w:p>
      <w:pPr>
        <w:pageBreakBefore w:val="0"/>
        <w:kinsoku/>
        <w:wordWrap/>
        <w:overflowPunct/>
        <w:topLinePunct w:val="0"/>
        <w:autoSpaceDE/>
        <w:autoSpaceDN/>
        <w:bidi w:val="0"/>
        <w:adjustRightInd/>
        <w:snapToGrid w:val="0"/>
        <w:spacing w:line="460" w:lineRule="exact"/>
        <w:ind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服务部分</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格式自拟，</w:t>
      </w:r>
      <w:r>
        <w:rPr>
          <w:rFonts w:hint="eastAsia" w:asciiTheme="minorEastAsia" w:hAnsiTheme="minorEastAsia" w:eastAsiaTheme="minorEastAsia" w:cstheme="minorEastAsia"/>
          <w:color w:val="auto"/>
          <w:sz w:val="24"/>
          <w:szCs w:val="24"/>
        </w:rPr>
        <w:t>内容</w:t>
      </w:r>
      <w:r>
        <w:rPr>
          <w:rFonts w:hint="eastAsia" w:asciiTheme="minorEastAsia" w:hAnsiTheme="minorEastAsia" w:cstheme="minorEastAsia"/>
          <w:color w:val="auto"/>
          <w:sz w:val="24"/>
          <w:szCs w:val="24"/>
          <w:lang w:val="en-US" w:eastAsia="zh-CN"/>
        </w:rPr>
        <w:t>详见《评分标准》中服务部分</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每页加盖投标单位鲜章</w:t>
      </w:r>
      <w:r>
        <w:rPr>
          <w:rFonts w:hint="eastAsia" w:asciiTheme="minorEastAsia" w:hAnsiTheme="minorEastAsia" w:eastAsiaTheme="minorEastAsia" w:cstheme="minorEastAsia"/>
          <w:color w:val="auto"/>
          <w:sz w:val="24"/>
          <w:szCs w:val="24"/>
        </w:rPr>
        <w:t xml:space="preserve">） </w:t>
      </w:r>
    </w:p>
    <w:p>
      <w:pPr>
        <w:pageBreakBefore w:val="0"/>
        <w:kinsoku/>
        <w:wordWrap/>
        <w:overflowPunct/>
        <w:topLinePunct w:val="0"/>
        <w:autoSpaceDE/>
        <w:autoSpaceDN/>
        <w:bidi w:val="0"/>
        <w:adjustRightInd/>
        <w:snapToGrid w:val="0"/>
        <w:spacing w:line="460" w:lineRule="exact"/>
        <w:textAlignment w:val="auto"/>
        <w:rPr>
          <w:rFonts w:asciiTheme="minorEastAsia" w:hAnsi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类似</w:t>
      </w:r>
      <w:r>
        <w:rPr>
          <w:rFonts w:hint="eastAsia" w:asciiTheme="minorEastAsia" w:hAnsiTheme="minorEastAsia" w:eastAsiaTheme="minorEastAsia" w:cstheme="minorEastAsia"/>
          <w:color w:val="auto"/>
          <w:sz w:val="24"/>
          <w:szCs w:val="24"/>
        </w:rPr>
        <w:t>业绩</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合同复印件每页加盖投标单位鲜章</w:t>
      </w:r>
      <w:r>
        <w:rPr>
          <w:rFonts w:hint="eastAsia" w:asciiTheme="minorEastAsia" w:hAnsiTheme="minorEastAsia" w:cstheme="minorEastAsia"/>
          <w:color w:val="auto"/>
          <w:sz w:val="24"/>
          <w:szCs w:val="24"/>
          <w:lang w:eastAsia="zh-CN"/>
        </w:rPr>
        <w:t>）</w:t>
      </w:r>
    </w:p>
    <w:p>
      <w:pPr>
        <w:keepNext w:val="0"/>
        <w:keepLines w:val="0"/>
        <w:pageBreakBefore w:val="0"/>
        <w:widowControl w:val="0"/>
        <w:numPr>
          <w:ilvl w:val="0"/>
          <w:numId w:val="10"/>
        </w:numPr>
        <w:kinsoku/>
        <w:wordWrap/>
        <w:overflowPunct/>
        <w:topLinePunct w:val="0"/>
        <w:autoSpaceDE/>
        <w:autoSpaceDN/>
        <w:bidi w:val="0"/>
        <w:adjustRightInd/>
        <w:spacing w:line="460" w:lineRule="exact"/>
        <w:textAlignment w:val="auto"/>
        <w:outlineLvl w:val="9"/>
        <w:rPr>
          <w:rFonts w:ascii="宋体" w:hAnsi="宋体" w:cs="Arial"/>
          <w:b/>
          <w:bCs/>
          <w:color w:val="auto"/>
          <w:sz w:val="24"/>
          <w:szCs w:val="24"/>
        </w:rPr>
      </w:pPr>
      <w:r>
        <w:rPr>
          <w:rFonts w:hint="eastAsia" w:ascii="宋体" w:hAnsi="宋体" w:cs="Arial"/>
          <w:b/>
          <w:bCs/>
          <w:color w:val="auto"/>
          <w:sz w:val="24"/>
          <w:szCs w:val="24"/>
        </w:rPr>
        <w:t>经济文件</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outlineLvl w:val="9"/>
        <w:rPr>
          <w:rFonts w:ascii="宋体" w:hAnsi="宋体" w:cs="Arial"/>
          <w:color w:val="auto"/>
          <w:sz w:val="24"/>
          <w:szCs w:val="24"/>
        </w:rPr>
      </w:pPr>
      <w:r>
        <w:rPr>
          <w:rFonts w:hint="eastAsia" w:ascii="宋体" w:hAnsi="宋体" w:cs="Arial"/>
          <w:color w:val="auto"/>
          <w:sz w:val="24"/>
          <w:szCs w:val="24"/>
        </w:rPr>
        <w:t>（一）报价函</w:t>
      </w:r>
    </w:p>
    <w:p>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outlineLvl w:val="9"/>
        <w:rPr>
          <w:color w:val="FF0000"/>
          <w:sz w:val="24"/>
          <w:szCs w:val="24"/>
        </w:rPr>
      </w:pPr>
      <w:r>
        <w:rPr>
          <w:rFonts w:hint="eastAsia"/>
          <w:color w:val="auto"/>
          <w:sz w:val="24"/>
          <w:szCs w:val="24"/>
        </w:rPr>
        <w:t>（二）</w:t>
      </w:r>
      <w:r>
        <w:rPr>
          <w:rFonts w:hint="eastAsia" w:asciiTheme="minorEastAsia" w:hAnsiTheme="minorEastAsia" w:cstheme="minorEastAsia"/>
          <w:color w:val="auto"/>
          <w:sz w:val="24"/>
          <w:szCs w:val="24"/>
          <w:lang w:val="en-US" w:eastAsia="zh-CN"/>
        </w:rPr>
        <w:t>明细报价表</w:t>
      </w:r>
      <w:r>
        <w:rPr>
          <w:rFonts w:hint="eastAsia"/>
          <w:color w:val="auto"/>
          <w:sz w:val="24"/>
          <w:szCs w:val="24"/>
        </w:rPr>
        <w:t>（格式）</w:t>
      </w:r>
    </w:p>
    <w:p>
      <w:pPr>
        <w:keepNext w:val="0"/>
        <w:keepLines w:val="0"/>
        <w:pageBreakBefore w:val="0"/>
        <w:widowControl w:val="0"/>
        <w:numPr>
          <w:ilvl w:val="0"/>
          <w:numId w:val="10"/>
        </w:numPr>
        <w:kinsoku/>
        <w:wordWrap/>
        <w:overflowPunct/>
        <w:topLinePunct w:val="0"/>
        <w:autoSpaceDE/>
        <w:autoSpaceDN/>
        <w:bidi w:val="0"/>
        <w:adjustRightInd/>
        <w:spacing w:line="460" w:lineRule="exact"/>
        <w:textAlignment w:val="auto"/>
        <w:outlineLvl w:val="9"/>
        <w:rPr>
          <w:b/>
          <w:bCs/>
          <w:color w:val="auto"/>
          <w:sz w:val="24"/>
          <w:szCs w:val="24"/>
        </w:rPr>
      </w:pPr>
      <w:r>
        <w:rPr>
          <w:rFonts w:hint="eastAsia"/>
          <w:b/>
          <w:bCs/>
          <w:color w:val="auto"/>
          <w:sz w:val="24"/>
          <w:szCs w:val="24"/>
        </w:rPr>
        <w:t>其他文件</w:t>
      </w:r>
    </w:p>
    <w:p>
      <w:pPr>
        <w:keepNext w:val="0"/>
        <w:keepLines w:val="0"/>
        <w:pageBreakBefore w:val="0"/>
        <w:widowControl w:val="0"/>
        <w:kinsoku/>
        <w:wordWrap/>
        <w:overflowPunct/>
        <w:topLinePunct w:val="0"/>
        <w:autoSpaceDE/>
        <w:autoSpaceDN/>
        <w:bidi w:val="0"/>
        <w:adjustRightInd/>
        <w:spacing w:line="460" w:lineRule="exact"/>
        <w:textAlignment w:val="auto"/>
        <w:outlineLvl w:val="9"/>
        <w:rPr>
          <w:rFonts w:ascii="宋体" w:hAnsi="宋体" w:cs="Arial"/>
          <w:color w:val="auto"/>
          <w:sz w:val="24"/>
          <w:szCs w:val="24"/>
        </w:rPr>
      </w:pPr>
      <w:r>
        <w:rPr>
          <w:rFonts w:hint="eastAsia"/>
          <w:color w:val="auto"/>
          <w:sz w:val="24"/>
          <w:szCs w:val="24"/>
        </w:rPr>
        <w:t xml:space="preserve">    投标单位提供与评分有关的内容或者投标单位认为需要提供的其他文件（</w:t>
      </w:r>
      <w:r>
        <w:rPr>
          <w:rFonts w:hint="eastAsia" w:asciiTheme="minorEastAsia" w:hAnsiTheme="minorEastAsia"/>
          <w:color w:val="auto"/>
          <w:kern w:val="0"/>
          <w:sz w:val="24"/>
          <w:szCs w:val="24"/>
        </w:rPr>
        <w:t>每页加盖投标单位鲜章或骑缝章</w:t>
      </w:r>
      <w:r>
        <w:rPr>
          <w:rFonts w:hint="eastAsia"/>
          <w:color w:val="auto"/>
          <w:sz w:val="24"/>
          <w:szCs w:val="24"/>
        </w:rPr>
        <w:t>）</w:t>
      </w:r>
    </w:p>
    <w:p>
      <w:pPr>
        <w:spacing w:line="460" w:lineRule="exact"/>
        <w:rPr>
          <w:rFonts w:ascii="宋体" w:hAnsi="宋体" w:cs="Arial"/>
          <w:color w:val="auto"/>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cs="Arial"/>
          <w:sz w:val="24"/>
          <w:szCs w:val="24"/>
        </w:rPr>
      </w:pPr>
    </w:p>
    <w:p>
      <w:pPr>
        <w:spacing w:line="460" w:lineRule="exact"/>
        <w:rPr>
          <w:rFonts w:ascii="宋体" w:hAnsi="宋体" w:eastAsia="宋体" w:cs="Arial"/>
          <w:sz w:val="24"/>
          <w:szCs w:val="24"/>
        </w:rPr>
      </w:pPr>
      <w:r>
        <w:rPr>
          <w:rFonts w:hint="eastAsia" w:ascii="宋体" w:hAnsi="宋体" w:cs="Arial"/>
          <w:sz w:val="24"/>
          <w:szCs w:val="24"/>
        </w:rPr>
        <w:t>以下为投标响应文件</w:t>
      </w:r>
    </w:p>
    <w:p>
      <w:pPr>
        <w:pStyle w:val="4"/>
        <w:pageBreakBefore w:val="0"/>
        <w:numPr>
          <w:ilvl w:val="0"/>
          <w:numId w:val="11"/>
        </w:numPr>
        <w:kinsoku/>
        <w:wordWrap/>
        <w:overflowPunct/>
        <w:topLinePunct w:val="0"/>
        <w:autoSpaceDE/>
        <w:autoSpaceDN/>
        <w:bidi w:val="0"/>
        <w:adjustRightInd/>
        <w:spacing w:line="460" w:lineRule="exact"/>
        <w:ind w:firstLine="562"/>
        <w:textAlignment w:val="auto"/>
        <w:rPr>
          <w:rFonts w:hint="eastAsia" w:asciiTheme="minorEastAsia" w:hAnsiTheme="minorEastAsia" w:eastAsiaTheme="minorEastAsia" w:cstheme="minorEastAsia"/>
          <w:snapToGrid w:val="0"/>
          <w:kern w:val="0"/>
          <w:sz w:val="24"/>
          <w:szCs w:val="24"/>
        </w:rPr>
      </w:pPr>
      <w:bookmarkStart w:id="40" w:name="_Toc372538174"/>
      <w:r>
        <w:rPr>
          <w:rFonts w:hint="eastAsia" w:asciiTheme="minorEastAsia" w:hAnsiTheme="minorEastAsia" w:eastAsiaTheme="minorEastAsia" w:cstheme="minorEastAsia"/>
          <w:snapToGrid w:val="0"/>
          <w:kern w:val="0"/>
          <w:sz w:val="24"/>
          <w:szCs w:val="24"/>
        </w:rPr>
        <w:t>资格文件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（一）营业执照或者法人证书复印件（加盖投标单位鲜章）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（二）法定代表人身份证明书或者法定代表人授权委托书</w:t>
      </w:r>
    </w:p>
    <w:p>
      <w:pPr>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法定代表人身份证明书</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ind w:firstLine="748"/>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（法定代表人姓名）在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（投标单位全称）任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（职务名称）职务，是__________________（投标单位全称）的法定代表人。</w:t>
      </w:r>
    </w:p>
    <w:p>
      <w:pPr>
        <w:pageBreakBefore w:val="0"/>
        <w:tabs>
          <w:tab w:val="left" w:pos="6300"/>
        </w:tabs>
        <w:kinsoku/>
        <w:wordWrap/>
        <w:overflowPunct/>
        <w:topLinePunct w:val="0"/>
        <w:autoSpaceDE/>
        <w:autoSpaceDN/>
        <w:bidi w:val="0"/>
        <w:adjustRightInd/>
        <w:snapToGrid w:val="0"/>
        <w:spacing w:line="460" w:lineRule="exact"/>
        <w:ind w:firstLine="573"/>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ind w:firstLine="573"/>
        <w:textAlignment w:val="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tabs>
          <w:tab w:val="left" w:pos="6300"/>
        </w:tabs>
        <w:kinsoku/>
        <w:wordWrap/>
        <w:overflowPunct/>
        <w:topLinePunct w:val="0"/>
        <w:autoSpaceDE/>
        <w:autoSpaceDN/>
        <w:bidi w:val="0"/>
        <w:adjustRightInd/>
        <w:snapToGrid w:val="0"/>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bl>
      <w:tblPr>
        <w:tblStyle w:val="14"/>
        <w:tblW w:w="822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1" w:hRule="atLeast"/>
        </w:trPr>
        <w:tc>
          <w:tcPr>
            <w:tcW w:w="8220" w:type="dxa"/>
          </w:tcPr>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法定代表人身份证正反面复印件</w:t>
            </w: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tc>
      </w:tr>
    </w:tbl>
    <w:p>
      <w:pPr>
        <w:pStyle w:val="4"/>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sz w:val="24"/>
          <w:szCs w:val="24"/>
        </w:rPr>
      </w:pPr>
      <w:bookmarkStart w:id="41" w:name="_Toc372538179"/>
      <w:r>
        <w:rPr>
          <w:rFonts w:hint="eastAsia" w:asciiTheme="minorEastAsia" w:hAnsiTheme="minorEastAsia" w:eastAsiaTheme="minorEastAsia" w:cstheme="minorEastAsia"/>
          <w:snapToGrid w:val="0"/>
          <w:kern w:val="0"/>
          <w:sz w:val="24"/>
          <w:szCs w:val="24"/>
        </w:rPr>
        <w:t>法定代表人授权委托书</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pPr>
        <w:pageBreakBefore w:val="0"/>
        <w:kinsoku/>
        <w:wordWrap/>
        <w:overflowPunct/>
        <w:topLinePunct w:val="0"/>
        <w:autoSpaceDE/>
        <w:autoSpaceDN/>
        <w:bidi w:val="0"/>
        <w:adjustRightInd/>
        <w:spacing w:line="4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（投标单位名称）的法定代表人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（姓名）特授权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（被授权人姓名）身份证代码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代表我单位全权办理</w:t>
      </w:r>
      <w:r>
        <w:rPr>
          <w:rFonts w:hint="eastAsia" w:asciiTheme="minorEastAsia" w:hAnsiTheme="minorEastAsia" w:eastAsiaTheme="minorEastAsia" w:cstheme="minorEastAsia"/>
          <w:sz w:val="24"/>
          <w:szCs w:val="24"/>
          <w:u w:val="single"/>
        </w:rPr>
        <w:t>重庆中国三峡博物馆藏品（古籍）档案整理及数字化服务</w:t>
      </w:r>
      <w:r>
        <w:rPr>
          <w:rFonts w:hint="eastAsia" w:asciiTheme="minorEastAsia" w:hAnsiTheme="minorEastAsia" w:eastAsiaTheme="minorEastAsia" w:cstheme="minorEastAsia"/>
          <w:sz w:val="24"/>
          <w:szCs w:val="24"/>
        </w:rPr>
        <w:t>项目的投标、磋商、签约等工作，并签署全部有关文件、协议及合同。</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我单位对被授权人的签字负全部责任。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在撤消被授权人的授权书面通知以前，本授权委托书一直有效。被授权人在授权委托书有效期内签署的所有文件不因授权的撤消而失效。</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被授权人：                 法定代表人：</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                (签字或盖章)     </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bl>
      <w:tblPr>
        <w:tblStyle w:val="14"/>
        <w:tblW w:w="819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0" w:hRule="atLeast"/>
        </w:trPr>
        <w:tc>
          <w:tcPr>
            <w:tcW w:w="8190" w:type="dxa"/>
          </w:tcPr>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r>
              <w:rPr>
                <w:rFonts w:hint="eastAsia" w:asciiTheme="minorEastAsia" w:hAnsiTheme="minorEastAsia" w:eastAsiaTheme="minorEastAsia" w:cstheme="minorEastAsia"/>
                <w:color w:val="000000"/>
                <w:kern w:val="0"/>
                <w:sz w:val="24"/>
                <w:szCs w:val="24"/>
                <w:shd w:val="clear" w:color="auto" w:fill="FFFFFF"/>
              </w:rPr>
              <w:t>被授权人身份证正反面复印件</w:t>
            </w: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p>
            <w:pPr>
              <w:pageBreakBefore w:val="0"/>
              <w:widowControl/>
              <w:kinsoku/>
              <w:wordWrap/>
              <w:overflowPunct/>
              <w:topLinePunct w:val="0"/>
              <w:autoSpaceDE/>
              <w:autoSpaceDN/>
              <w:bidi w:val="0"/>
              <w:adjustRightInd/>
              <w:spacing w:before="100" w:after="100" w:line="460" w:lineRule="exact"/>
              <w:jc w:val="center"/>
              <w:textAlignment w:val="auto"/>
              <w:rPr>
                <w:rFonts w:hint="eastAsia" w:asciiTheme="minorEastAsia" w:hAnsiTheme="minorEastAsia" w:eastAsiaTheme="minorEastAsia" w:cstheme="minorEastAsia"/>
                <w:color w:val="000000"/>
                <w:kern w:val="0"/>
                <w:sz w:val="24"/>
                <w:szCs w:val="24"/>
                <w:shd w:val="clear" w:color="auto" w:fill="FFFFFF"/>
              </w:rPr>
            </w:pPr>
          </w:p>
        </w:tc>
      </w:tr>
      <w:bookmarkEnd w:id="41"/>
    </w:tbl>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（三）诚信声明书（格式）</w:t>
      </w:r>
    </w:p>
    <w:p>
      <w:pPr>
        <w:pStyle w:val="4"/>
        <w:pageBreakBefore w:val="0"/>
        <w:kinsoku/>
        <w:wordWrap/>
        <w:overflowPunct/>
        <w:topLinePunct w:val="0"/>
        <w:autoSpaceDE/>
        <w:autoSpaceDN/>
        <w:bidi w:val="0"/>
        <w:adjustRightInd/>
        <w:spacing w:line="460" w:lineRule="exact"/>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诚信声明书</w:t>
      </w:r>
    </w:p>
    <w:p>
      <w:pPr>
        <w:pageBreakBefore w:val="0"/>
        <w:kinsoku/>
        <w:wordWrap/>
        <w:overflowPunct/>
        <w:topLinePunct w:val="0"/>
        <w:autoSpaceDE/>
        <w:autoSpaceDN/>
        <w:bidi w:val="0"/>
        <w:adjustRightInd/>
        <w:spacing w:line="460" w:lineRule="exact"/>
        <w:ind w:firstLine="480" w:firstLineChars="200"/>
        <w:jc w:val="center"/>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（投标单位名称）郑重声明：</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单位具有良好的商业信誉和诚实的商业道德，具有健全的财务会计制度，有依法缴纳税收和社会保障资金的良好记录，具有履行合同所必需的设备和专业技术能力，在合同签订前后随时愿意提供相关证明材料，我单位还同时声明本次采购活动前三年内，在经营活动中没有因违法经营受到刑事处罚或者责令停产停业、吊销许可证或者执照、较大数额罚款等重大违法记录，符合《中华人民共和国政府采购法》、《中华人民共和国政府采购法实施条例》规定的供应商资格条件，我方所提供的投标文件均已经过认真、严格的审核，其内容均为合法真实、准确有效且毫无遗漏和保留，绝无任何虚假、伪造和夸大的成份。</w:t>
      </w:r>
    </w:p>
    <w:p>
      <w:pPr>
        <w:pageBreakBefore w:val="0"/>
        <w:kinsoku/>
        <w:wordWrap/>
        <w:overflowPunct/>
        <w:topLinePunct w:val="0"/>
        <w:autoSpaceDE/>
        <w:autoSpaceDN/>
        <w:bidi w:val="0"/>
        <w:adjustRightInd/>
        <w:spacing w:line="46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我方对以上声明负全部法律责任。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特此声明！</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ind w:right="54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法定代表人或被授权代表：</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（投标单位公章）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p>
    <w:p>
      <w:pPr>
        <w:pageBreakBefore w:val="0"/>
        <w:numPr>
          <w:ilvl w:val="0"/>
          <w:numId w:val="12"/>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rPr>
        <w:t>技术文件</w:t>
      </w:r>
    </w:p>
    <w:p>
      <w:pPr>
        <w:pageBreakBefore w:val="0"/>
        <w:kinsoku/>
        <w:wordWrap/>
        <w:overflowPunct/>
        <w:topLinePunct w:val="0"/>
        <w:autoSpaceDE/>
        <w:autoSpaceDN/>
        <w:bidi w:val="0"/>
        <w:adjustRightInd/>
        <w:snapToGrid w:val="0"/>
        <w:spacing w:line="460" w:lineRule="exact"/>
        <w:ind w:firstLine="240" w:firstLineChars="1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服务部分</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格式自拟，</w:t>
      </w:r>
      <w:r>
        <w:rPr>
          <w:rFonts w:hint="eastAsia" w:asciiTheme="minorEastAsia" w:hAnsiTheme="minorEastAsia" w:eastAsiaTheme="minorEastAsia" w:cstheme="minorEastAsia"/>
          <w:color w:val="auto"/>
          <w:sz w:val="24"/>
          <w:szCs w:val="24"/>
        </w:rPr>
        <w:t>内容</w:t>
      </w:r>
      <w:r>
        <w:rPr>
          <w:rFonts w:hint="eastAsia" w:asciiTheme="minorEastAsia" w:hAnsiTheme="minorEastAsia" w:cstheme="minorEastAsia"/>
          <w:color w:val="auto"/>
          <w:sz w:val="24"/>
          <w:szCs w:val="24"/>
          <w:lang w:val="en-US" w:eastAsia="zh-CN"/>
        </w:rPr>
        <w:t>详见《评分标准》中服务部分</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每页加盖投标单位鲜章</w:t>
      </w:r>
      <w:r>
        <w:rPr>
          <w:rFonts w:hint="eastAsia" w:asciiTheme="minorEastAsia" w:hAnsiTheme="minorEastAsia" w:eastAsiaTheme="minorEastAsia" w:cstheme="minorEastAsia"/>
          <w:color w:val="auto"/>
          <w:sz w:val="24"/>
          <w:szCs w:val="24"/>
        </w:rPr>
        <w:t xml:space="preserve">） </w:t>
      </w:r>
    </w:p>
    <w:p>
      <w:pPr>
        <w:pageBreakBefore w:val="0"/>
        <w:kinsoku/>
        <w:wordWrap/>
        <w:overflowPunct/>
        <w:topLinePunct w:val="0"/>
        <w:autoSpaceDE/>
        <w:autoSpaceDN/>
        <w:bidi w:val="0"/>
        <w:adjustRightInd/>
        <w:snapToGrid w:val="0"/>
        <w:spacing w:line="460" w:lineRule="exact"/>
        <w:textAlignment w:val="auto"/>
        <w:rPr>
          <w:rFonts w:asciiTheme="minorEastAsia" w:hAnsi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类似</w:t>
      </w:r>
      <w:r>
        <w:rPr>
          <w:rFonts w:hint="eastAsia" w:asciiTheme="minorEastAsia" w:hAnsiTheme="minorEastAsia" w:eastAsiaTheme="minorEastAsia" w:cstheme="minorEastAsia"/>
          <w:color w:val="auto"/>
          <w:sz w:val="24"/>
          <w:szCs w:val="24"/>
        </w:rPr>
        <w:t>业绩</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合同复印件每页加盖投标单位鲜章</w:t>
      </w:r>
      <w:r>
        <w:rPr>
          <w:rFonts w:hint="eastAsia" w:asciiTheme="minorEastAsia" w:hAnsiTheme="minorEastAsia" w:cstheme="minorEastAsia"/>
          <w:color w:val="auto"/>
          <w:sz w:val="24"/>
          <w:szCs w:val="24"/>
          <w:lang w:eastAsia="zh-CN"/>
        </w:rPr>
        <w:t>）</w:t>
      </w:r>
    </w:p>
    <w:p>
      <w:pPr>
        <w:pageBreakBefore w:val="0"/>
        <w:numPr>
          <w:ilvl w:val="0"/>
          <w:numId w:val="13"/>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经济文件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（一）报价函（格式）</w:t>
      </w:r>
    </w:p>
    <w:p>
      <w:pPr>
        <w:pStyle w:val="4"/>
        <w:pageBreakBefore w:val="0"/>
        <w:kinsoku/>
        <w:wordWrap/>
        <w:overflowPunct/>
        <w:topLinePunct w:val="0"/>
        <w:autoSpaceDE/>
        <w:autoSpaceDN/>
        <w:bidi w:val="0"/>
        <w:adjustRightInd/>
        <w:spacing w:line="460" w:lineRule="exact"/>
        <w:ind w:firstLine="562"/>
        <w:jc w:val="center"/>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报 价 函</w:t>
      </w:r>
      <w:bookmarkEnd w:id="40"/>
      <w:bookmarkStart w:id="42" w:name="_Toc372538175"/>
    </w:p>
    <w:p>
      <w:pPr>
        <w:pStyle w:val="4"/>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重庆中国三峡博物馆：</w:t>
      </w:r>
    </w:p>
    <w:p>
      <w:pPr>
        <w:pStyle w:val="4"/>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我单位收到贵单位</w:t>
      </w:r>
      <w:r>
        <w:rPr>
          <w:rFonts w:hint="eastAsia" w:asciiTheme="minorEastAsia" w:hAnsiTheme="minorEastAsia" w:eastAsiaTheme="minorEastAsia" w:cstheme="minorEastAsia"/>
          <w:sz w:val="24"/>
          <w:szCs w:val="24"/>
          <w:u w:val="single"/>
        </w:rPr>
        <w:t>《重庆中国三峡博物馆藏品（古籍）档案整理及数字化服务询比文件》</w:t>
      </w:r>
      <w:r>
        <w:rPr>
          <w:rFonts w:hint="eastAsia" w:asciiTheme="minorEastAsia" w:hAnsiTheme="minorEastAsia" w:eastAsiaTheme="minorEastAsia" w:cstheme="minorEastAsia"/>
          <w:sz w:val="24"/>
          <w:szCs w:val="24"/>
        </w:rPr>
        <w:t>，通过我单位的授权代表，向贵单位递交全套投标文件参与下列项目的投标报价，现为我单位的一切投标行为作郑重承诺及声明如下：</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报价项目名称：</w:t>
      </w:r>
      <w:r>
        <w:rPr>
          <w:rFonts w:hint="eastAsia" w:asciiTheme="minorEastAsia" w:hAnsiTheme="minorEastAsia" w:eastAsiaTheme="minorEastAsia" w:cstheme="minorEastAsia"/>
          <w:sz w:val="24"/>
          <w:szCs w:val="24"/>
          <w:u w:val="single"/>
        </w:rPr>
        <w:t>重庆中国三峡博物馆藏品（古籍）档案整理及数字化服务</w:t>
      </w:r>
      <w:r>
        <w:rPr>
          <w:rFonts w:hint="eastAsia" w:asciiTheme="minorEastAsia" w:hAnsiTheme="minorEastAsia" w:eastAsiaTheme="minorEastAsia" w:cstheme="minorEastAsia"/>
          <w:sz w:val="24"/>
          <w:szCs w:val="24"/>
        </w:rPr>
        <w:t>。</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sz w:val="24"/>
          <w:szCs w:val="24"/>
        </w:rPr>
        <w:t>2.  我单位已认真阅读了</w:t>
      </w:r>
      <w:r>
        <w:rPr>
          <w:rFonts w:hint="eastAsia" w:asciiTheme="minorEastAsia" w:hAnsiTheme="minorEastAsia" w:eastAsiaTheme="minorEastAsia" w:cstheme="minorEastAsia"/>
          <w:sz w:val="24"/>
          <w:szCs w:val="24"/>
          <w:u w:val="single"/>
        </w:rPr>
        <w:t>《重庆中国三峡博物馆藏品（古籍）档案整理及数字化服务询比文件》</w:t>
      </w:r>
      <w:r>
        <w:rPr>
          <w:rFonts w:hint="eastAsia" w:asciiTheme="minorEastAsia" w:hAnsiTheme="minorEastAsia" w:eastAsiaTheme="minorEastAsia" w:cstheme="minorEastAsia"/>
          <w:sz w:val="24"/>
          <w:szCs w:val="24"/>
        </w:rPr>
        <w:t>，完全清楚理解其内容及规约，同意接受采购文件的要求，均没有任何异议、质疑和误解之处。</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报价有效期为自递交报价文件起至中标单位确定止，若我单位获成交资格，报价有效期则相应延长至本项目最终验收合格并结算完毕之日，不论在任何时候，将按贵单位的要求在规定时间内保质保量地完成任务。</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我单位完全服从和尊重评审结果和决定。</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同意按询比文件要求认真履行成交人的义务，若我方行为不当而损害了贵单位的合法权益，我单位愿在任何时候无条件承担相应的缔约过失责任和经济赔偿。</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我单位在本次投标活动中，不以任何不正当的手段影响、串通、排斥有关当事人或谋取、施予非法利益，如有行为不当，愿独自承担此行为所造成的后果和法律责任。</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以上承诺均涵盖整套投标文件。</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  按询比文件要求，我单位愿意以（人民币）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），作为此次投标的最终报价。</w:t>
      </w:r>
    </w:p>
    <w:p>
      <w:pPr>
        <w:pageBreakBefore w:val="0"/>
        <w:kinsoku/>
        <w:wordWrap/>
        <w:overflowPunct/>
        <w:topLinePunct w:val="0"/>
        <w:autoSpaceDE/>
        <w:autoSpaceDN/>
        <w:bidi w:val="0"/>
        <w:adjustRightIn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法定代表人或被授权代表：</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（签字或盖章）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投标单位（全称）：        （公章）</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联系电话：          </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 </w:t>
      </w:r>
      <w:bookmarkEnd w:id="42"/>
    </w:p>
    <w:p>
      <w:pPr>
        <w:numPr>
          <w:ilvl w:val="0"/>
          <w:numId w:val="0"/>
        </w:numPr>
        <w:jc w:val="both"/>
        <w:rPr>
          <w:rFonts w:hint="eastAsia" w:ascii="宋体" w:hAnsi="宋体" w:cs="Arial"/>
          <w:snapToGrid w:val="0"/>
          <w:kern w:val="0"/>
          <w:sz w:val="30"/>
          <w:szCs w:val="30"/>
          <w:lang w:val="en-US" w:eastAsia="zh-CN"/>
        </w:rPr>
      </w:pPr>
      <w:r>
        <w:rPr>
          <w:rFonts w:hint="eastAsia" w:ascii="宋体" w:hAnsi="宋体" w:cs="Arial"/>
          <w:snapToGrid w:val="0"/>
          <w:kern w:val="0"/>
          <w:sz w:val="30"/>
          <w:szCs w:val="30"/>
          <w:lang w:val="en-US" w:eastAsia="zh-CN"/>
        </w:rPr>
        <w:t>（二）明细报价表（格式）</w:t>
      </w:r>
    </w:p>
    <w:p>
      <w:pPr>
        <w:pStyle w:val="4"/>
        <w:spacing w:line="500" w:lineRule="atLeast"/>
        <w:jc w:val="center"/>
        <w:rPr>
          <w:rFonts w:ascii="宋体" w:hAnsi="宋体" w:cs="Arial"/>
          <w:snapToGrid w:val="0"/>
          <w:color w:val="auto"/>
          <w:kern w:val="0"/>
          <w:sz w:val="30"/>
          <w:szCs w:val="30"/>
        </w:rPr>
      </w:pPr>
      <w:r>
        <w:rPr>
          <w:rFonts w:hint="eastAsia" w:ascii="宋体" w:hAnsi="宋体" w:cs="Arial"/>
          <w:snapToGrid w:val="0"/>
          <w:color w:val="auto"/>
          <w:kern w:val="0"/>
          <w:sz w:val="30"/>
          <w:szCs w:val="30"/>
        </w:rPr>
        <w:t>明  细  报  价  表</w:t>
      </w:r>
    </w:p>
    <w:p>
      <w:pPr>
        <w:spacing w:line="360" w:lineRule="auto"/>
        <w:rPr>
          <w:rFonts w:ascii="宋体" w:hAnsi="宋体"/>
          <w:color w:val="auto"/>
          <w:sz w:val="24"/>
          <w:szCs w:val="24"/>
        </w:rPr>
      </w:pPr>
      <w:r>
        <w:rPr>
          <w:rFonts w:hint="eastAsia" w:ascii="宋体" w:hAnsi="宋体"/>
          <w:color w:val="auto"/>
          <w:sz w:val="24"/>
          <w:szCs w:val="24"/>
        </w:rPr>
        <w:t>项目名称：</w:t>
      </w:r>
      <w:r>
        <w:rPr>
          <w:rFonts w:hint="eastAsia" w:ascii="宋体" w:hAnsi="宋体"/>
          <w:color w:val="auto"/>
          <w:sz w:val="24"/>
          <w:szCs w:val="24"/>
          <w:lang w:eastAsia="zh-CN"/>
        </w:rPr>
        <w:t>重庆中国三峡博物馆藏品（古籍）档案整理及数字化服务</w:t>
      </w:r>
    </w:p>
    <w:tbl>
      <w:tblPr>
        <w:tblStyle w:val="14"/>
        <w:tblW w:w="87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64"/>
        <w:gridCol w:w="2249"/>
        <w:gridCol w:w="1894"/>
        <w:gridCol w:w="81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27" w:hRule="atLeast"/>
          <w:jc w:val="center"/>
        </w:trPr>
        <w:tc>
          <w:tcPr>
            <w:tcW w:w="825" w:type="dxa"/>
            <w:vAlign w:val="center"/>
          </w:tcPr>
          <w:p>
            <w:pPr>
              <w:snapToGrid w:val="0"/>
              <w:spacing w:line="360" w:lineRule="auto"/>
              <w:jc w:val="center"/>
              <w:rPr>
                <w:rFonts w:ascii="宋体" w:hAnsi="宋体"/>
                <w:color w:val="auto"/>
                <w:sz w:val="24"/>
                <w:szCs w:val="24"/>
              </w:rPr>
            </w:pPr>
            <w:r>
              <w:rPr>
                <w:rFonts w:hint="eastAsia" w:ascii="宋体" w:hAnsi="宋体"/>
                <w:color w:val="auto"/>
                <w:sz w:val="24"/>
                <w:szCs w:val="24"/>
              </w:rPr>
              <w:t>序号</w:t>
            </w:r>
          </w:p>
        </w:tc>
        <w:tc>
          <w:tcPr>
            <w:tcW w:w="1664" w:type="dxa"/>
            <w:vAlign w:val="center"/>
          </w:tcPr>
          <w:p>
            <w:pPr>
              <w:snapToGrid w:val="0"/>
              <w:spacing w:line="360" w:lineRule="auto"/>
              <w:jc w:val="center"/>
              <w:rPr>
                <w:rFonts w:ascii="宋体" w:hAnsi="宋体"/>
                <w:color w:val="auto"/>
                <w:sz w:val="24"/>
                <w:szCs w:val="24"/>
              </w:rPr>
            </w:pPr>
            <w:r>
              <w:rPr>
                <w:rFonts w:hint="eastAsia" w:ascii="宋体" w:hAnsi="宋体"/>
                <w:color w:val="auto"/>
                <w:sz w:val="24"/>
                <w:szCs w:val="24"/>
              </w:rPr>
              <w:t>名称</w:t>
            </w:r>
          </w:p>
        </w:tc>
        <w:tc>
          <w:tcPr>
            <w:tcW w:w="2249" w:type="dxa"/>
            <w:vAlign w:val="center"/>
          </w:tcPr>
          <w:p>
            <w:pPr>
              <w:snapToGrid w:val="0"/>
              <w:spacing w:line="360" w:lineRule="auto"/>
              <w:jc w:val="center"/>
              <w:rPr>
                <w:rFonts w:hint="eastAsia" w:ascii="宋体" w:hAnsi="宋体" w:eastAsiaTheme="minorEastAsia"/>
                <w:color w:val="auto"/>
                <w:sz w:val="24"/>
                <w:szCs w:val="24"/>
                <w:lang w:eastAsia="zh-CN"/>
              </w:rPr>
            </w:pPr>
            <w:r>
              <w:rPr>
                <w:rFonts w:hint="eastAsia" w:ascii="宋体" w:hAnsi="宋体"/>
                <w:color w:val="auto"/>
                <w:sz w:val="24"/>
                <w:szCs w:val="24"/>
                <w:lang w:eastAsia="zh-CN"/>
              </w:rPr>
              <w:t>内容</w:t>
            </w:r>
          </w:p>
        </w:tc>
        <w:tc>
          <w:tcPr>
            <w:tcW w:w="1894" w:type="dxa"/>
            <w:vAlign w:val="center"/>
          </w:tcPr>
          <w:p>
            <w:pPr>
              <w:snapToGrid w:val="0"/>
              <w:spacing w:line="360" w:lineRule="auto"/>
              <w:jc w:val="center"/>
              <w:rPr>
                <w:rFonts w:ascii="宋体" w:hAnsi="宋体"/>
                <w:color w:val="auto"/>
                <w:sz w:val="24"/>
                <w:szCs w:val="24"/>
              </w:rPr>
            </w:pPr>
            <w:r>
              <w:rPr>
                <w:rFonts w:hint="eastAsia" w:ascii="宋体" w:hAnsi="宋体"/>
                <w:color w:val="auto"/>
                <w:sz w:val="24"/>
                <w:szCs w:val="24"/>
              </w:rPr>
              <w:t>综合单价</w:t>
            </w:r>
          </w:p>
        </w:tc>
        <w:tc>
          <w:tcPr>
            <w:tcW w:w="817" w:type="dxa"/>
            <w:vAlign w:val="center"/>
          </w:tcPr>
          <w:p>
            <w:pPr>
              <w:snapToGrid w:val="0"/>
              <w:spacing w:line="360" w:lineRule="auto"/>
              <w:jc w:val="center"/>
              <w:rPr>
                <w:rFonts w:ascii="宋体" w:hAnsi="宋体"/>
                <w:color w:val="auto"/>
                <w:sz w:val="24"/>
                <w:szCs w:val="24"/>
              </w:rPr>
            </w:pPr>
            <w:r>
              <w:rPr>
                <w:rFonts w:hint="eastAsia" w:ascii="宋体" w:hAnsi="宋体"/>
                <w:color w:val="auto"/>
                <w:sz w:val="24"/>
                <w:szCs w:val="24"/>
              </w:rPr>
              <w:t>数量</w:t>
            </w:r>
          </w:p>
        </w:tc>
        <w:tc>
          <w:tcPr>
            <w:tcW w:w="1268" w:type="dxa"/>
            <w:vAlign w:val="center"/>
          </w:tcPr>
          <w:p>
            <w:pPr>
              <w:snapToGrid w:val="0"/>
              <w:spacing w:line="360" w:lineRule="auto"/>
              <w:jc w:val="center"/>
              <w:rPr>
                <w:rFonts w:ascii="宋体" w:hAnsi="宋体"/>
                <w:color w:val="auto"/>
                <w:sz w:val="24"/>
                <w:szCs w:val="24"/>
              </w:rPr>
            </w:pPr>
            <w:r>
              <w:rPr>
                <w:rFonts w:hint="eastAsia" w:ascii="宋体" w:hAnsi="宋体"/>
                <w:color w:val="auto"/>
                <w:sz w:val="24"/>
                <w:szCs w:val="24"/>
              </w:rPr>
              <w:t>合计</w:t>
            </w:r>
            <w:r>
              <w:rPr>
                <w:rFonts w:hint="eastAsia" w:ascii="宋体" w:hAnsi="宋体"/>
                <w:color w:val="auto"/>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825" w:type="dxa"/>
            <w:vAlign w:val="center"/>
          </w:tcPr>
          <w:p>
            <w:pPr>
              <w:snapToGrid w:val="0"/>
              <w:spacing w:line="360" w:lineRule="auto"/>
              <w:jc w:val="center"/>
              <w:rPr>
                <w:rFonts w:ascii="宋体" w:hAnsi="宋体"/>
                <w:color w:val="auto"/>
                <w:sz w:val="24"/>
                <w:szCs w:val="24"/>
              </w:rPr>
            </w:pPr>
            <w:r>
              <w:rPr>
                <w:rFonts w:hint="eastAsia" w:ascii="宋体" w:hAnsi="宋体"/>
                <w:color w:val="auto"/>
                <w:sz w:val="24"/>
                <w:szCs w:val="24"/>
              </w:rPr>
              <w:t>1</w:t>
            </w:r>
          </w:p>
        </w:tc>
        <w:tc>
          <w:tcPr>
            <w:tcW w:w="1664" w:type="dxa"/>
            <w:vAlign w:val="center"/>
          </w:tcPr>
          <w:p>
            <w:pPr>
              <w:widowControl/>
              <w:jc w:val="center"/>
              <w:textAlignment w:val="center"/>
              <w:rPr>
                <w:rFonts w:ascii="宋体" w:hAnsi="宋体"/>
                <w:color w:val="auto"/>
                <w:sz w:val="24"/>
                <w:szCs w:val="24"/>
              </w:rPr>
            </w:pPr>
          </w:p>
        </w:tc>
        <w:tc>
          <w:tcPr>
            <w:tcW w:w="2249" w:type="dxa"/>
            <w:vAlign w:val="center"/>
          </w:tcPr>
          <w:p>
            <w:pPr>
              <w:pStyle w:val="2"/>
              <w:spacing w:line="360" w:lineRule="auto"/>
              <w:rPr>
                <w:rFonts w:hAnsi="宋体"/>
                <w:color w:val="auto"/>
                <w:sz w:val="24"/>
                <w:szCs w:val="24"/>
              </w:rPr>
            </w:pPr>
          </w:p>
        </w:tc>
        <w:tc>
          <w:tcPr>
            <w:tcW w:w="1894" w:type="dxa"/>
            <w:vAlign w:val="center"/>
          </w:tcPr>
          <w:p>
            <w:pPr>
              <w:snapToGrid w:val="0"/>
              <w:spacing w:line="360" w:lineRule="auto"/>
              <w:jc w:val="center"/>
              <w:rPr>
                <w:rFonts w:ascii="宋体" w:hAnsi="宋体"/>
                <w:color w:val="auto"/>
                <w:sz w:val="24"/>
                <w:szCs w:val="24"/>
              </w:rPr>
            </w:pPr>
          </w:p>
        </w:tc>
        <w:tc>
          <w:tcPr>
            <w:tcW w:w="817" w:type="dxa"/>
          </w:tcPr>
          <w:p>
            <w:pPr>
              <w:tabs>
                <w:tab w:val="left" w:pos="312"/>
              </w:tabs>
              <w:rPr>
                <w:rFonts w:ascii="宋体" w:hAnsi="宋体"/>
                <w:color w:val="auto"/>
                <w:sz w:val="24"/>
                <w:szCs w:val="24"/>
              </w:rPr>
            </w:pPr>
          </w:p>
        </w:tc>
        <w:tc>
          <w:tcPr>
            <w:tcW w:w="1268" w:type="dxa"/>
            <w:vAlign w:val="center"/>
          </w:tcPr>
          <w:p>
            <w:pPr>
              <w:pStyle w:val="2"/>
              <w:spacing w:line="360" w:lineRule="auto"/>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jc w:val="center"/>
        </w:trPr>
        <w:tc>
          <w:tcPr>
            <w:tcW w:w="825" w:type="dxa"/>
            <w:vAlign w:val="center"/>
          </w:tcPr>
          <w:p>
            <w:pPr>
              <w:snapToGrid w:val="0"/>
              <w:spacing w:line="360" w:lineRule="auto"/>
              <w:jc w:val="center"/>
              <w:rPr>
                <w:rFonts w:ascii="宋体" w:hAnsi="宋体"/>
                <w:color w:val="auto"/>
                <w:sz w:val="24"/>
                <w:szCs w:val="24"/>
              </w:rPr>
            </w:pPr>
            <w:r>
              <w:rPr>
                <w:rFonts w:hint="eastAsia" w:ascii="宋体" w:hAnsi="宋体"/>
                <w:color w:val="auto"/>
                <w:sz w:val="24"/>
                <w:szCs w:val="24"/>
              </w:rPr>
              <w:t>2</w:t>
            </w:r>
          </w:p>
        </w:tc>
        <w:tc>
          <w:tcPr>
            <w:tcW w:w="1664" w:type="dxa"/>
            <w:vAlign w:val="center"/>
          </w:tcPr>
          <w:p>
            <w:pPr>
              <w:widowControl/>
              <w:jc w:val="center"/>
              <w:textAlignment w:val="center"/>
              <w:rPr>
                <w:rFonts w:ascii="宋体" w:hAnsi="宋体"/>
                <w:color w:val="auto"/>
                <w:sz w:val="24"/>
                <w:szCs w:val="24"/>
              </w:rPr>
            </w:pPr>
          </w:p>
        </w:tc>
        <w:tc>
          <w:tcPr>
            <w:tcW w:w="2249" w:type="dxa"/>
            <w:vAlign w:val="center"/>
          </w:tcPr>
          <w:p>
            <w:pPr>
              <w:snapToGrid w:val="0"/>
              <w:spacing w:line="360" w:lineRule="auto"/>
              <w:rPr>
                <w:rFonts w:ascii="宋体" w:hAnsi="宋体"/>
                <w:color w:val="auto"/>
                <w:sz w:val="24"/>
                <w:szCs w:val="24"/>
              </w:rPr>
            </w:pPr>
          </w:p>
        </w:tc>
        <w:tc>
          <w:tcPr>
            <w:tcW w:w="1894" w:type="dxa"/>
            <w:vAlign w:val="center"/>
          </w:tcPr>
          <w:p>
            <w:pPr>
              <w:snapToGrid w:val="0"/>
              <w:spacing w:line="360" w:lineRule="auto"/>
              <w:jc w:val="center"/>
              <w:rPr>
                <w:rFonts w:ascii="宋体" w:hAnsi="宋体"/>
                <w:color w:val="auto"/>
                <w:sz w:val="24"/>
                <w:szCs w:val="24"/>
              </w:rPr>
            </w:pPr>
          </w:p>
        </w:tc>
        <w:tc>
          <w:tcPr>
            <w:tcW w:w="817" w:type="dxa"/>
          </w:tcPr>
          <w:p>
            <w:pPr>
              <w:rPr>
                <w:rFonts w:ascii="宋体" w:hAnsi="宋体"/>
                <w:color w:val="auto"/>
                <w:sz w:val="24"/>
                <w:szCs w:val="24"/>
              </w:rPr>
            </w:pPr>
          </w:p>
        </w:tc>
        <w:tc>
          <w:tcPr>
            <w:tcW w:w="1268" w:type="dxa"/>
            <w:vAlign w:val="center"/>
          </w:tcPr>
          <w:p>
            <w:pPr>
              <w:pStyle w:val="2"/>
              <w:spacing w:line="360" w:lineRule="auto"/>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jc w:val="center"/>
        </w:trPr>
        <w:tc>
          <w:tcPr>
            <w:tcW w:w="825" w:type="dxa"/>
            <w:vAlign w:val="center"/>
          </w:tcPr>
          <w:p>
            <w:pPr>
              <w:snapToGrid w:val="0"/>
              <w:spacing w:line="360" w:lineRule="auto"/>
              <w:jc w:val="center"/>
              <w:rPr>
                <w:rFonts w:ascii="宋体" w:hAnsi="宋体"/>
                <w:color w:val="auto"/>
                <w:sz w:val="24"/>
                <w:szCs w:val="24"/>
              </w:rPr>
            </w:pPr>
            <w:r>
              <w:rPr>
                <w:rFonts w:hint="eastAsia" w:ascii="宋体" w:hAnsi="宋体"/>
                <w:color w:val="auto"/>
                <w:sz w:val="24"/>
                <w:szCs w:val="24"/>
              </w:rPr>
              <w:t>3</w:t>
            </w:r>
          </w:p>
        </w:tc>
        <w:tc>
          <w:tcPr>
            <w:tcW w:w="1664" w:type="dxa"/>
            <w:vAlign w:val="center"/>
          </w:tcPr>
          <w:p>
            <w:pPr>
              <w:widowControl/>
              <w:jc w:val="center"/>
              <w:textAlignment w:val="center"/>
              <w:rPr>
                <w:rFonts w:ascii="宋体" w:hAnsi="宋体"/>
                <w:color w:val="auto"/>
                <w:sz w:val="24"/>
                <w:szCs w:val="24"/>
              </w:rPr>
            </w:pPr>
          </w:p>
        </w:tc>
        <w:tc>
          <w:tcPr>
            <w:tcW w:w="2249" w:type="dxa"/>
            <w:vAlign w:val="center"/>
          </w:tcPr>
          <w:p>
            <w:pPr>
              <w:pStyle w:val="2"/>
              <w:spacing w:line="360" w:lineRule="auto"/>
              <w:rPr>
                <w:rFonts w:hAnsi="宋体"/>
                <w:color w:val="auto"/>
                <w:sz w:val="24"/>
                <w:szCs w:val="24"/>
              </w:rPr>
            </w:pPr>
          </w:p>
        </w:tc>
        <w:tc>
          <w:tcPr>
            <w:tcW w:w="1894" w:type="dxa"/>
            <w:vAlign w:val="center"/>
          </w:tcPr>
          <w:p>
            <w:pPr>
              <w:snapToGrid w:val="0"/>
              <w:spacing w:line="360" w:lineRule="auto"/>
              <w:jc w:val="center"/>
              <w:rPr>
                <w:rFonts w:ascii="宋体" w:hAnsi="宋体"/>
                <w:color w:val="auto"/>
                <w:sz w:val="24"/>
                <w:szCs w:val="24"/>
              </w:rPr>
            </w:pPr>
          </w:p>
        </w:tc>
        <w:tc>
          <w:tcPr>
            <w:tcW w:w="817" w:type="dxa"/>
          </w:tcPr>
          <w:p>
            <w:pPr>
              <w:rPr>
                <w:rFonts w:ascii="宋体" w:hAnsi="宋体"/>
                <w:color w:val="auto"/>
                <w:sz w:val="24"/>
                <w:szCs w:val="24"/>
              </w:rPr>
            </w:pPr>
          </w:p>
        </w:tc>
        <w:tc>
          <w:tcPr>
            <w:tcW w:w="1268" w:type="dxa"/>
            <w:vAlign w:val="center"/>
          </w:tcPr>
          <w:p>
            <w:pPr>
              <w:pStyle w:val="2"/>
              <w:spacing w:line="360" w:lineRule="auto"/>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atLeast"/>
          <w:jc w:val="center"/>
        </w:trPr>
        <w:tc>
          <w:tcPr>
            <w:tcW w:w="825" w:type="dxa"/>
            <w:vAlign w:val="center"/>
          </w:tcPr>
          <w:p>
            <w:pPr>
              <w:snapToGrid w:val="0"/>
              <w:spacing w:line="360" w:lineRule="auto"/>
              <w:jc w:val="center"/>
              <w:rPr>
                <w:rFonts w:ascii="宋体" w:hAnsi="宋体"/>
                <w:color w:val="auto"/>
                <w:sz w:val="24"/>
                <w:szCs w:val="24"/>
              </w:rPr>
            </w:pPr>
            <w:r>
              <w:rPr>
                <w:rFonts w:hint="eastAsia" w:ascii="宋体" w:hAnsi="宋体"/>
                <w:color w:val="auto"/>
                <w:sz w:val="24"/>
                <w:szCs w:val="24"/>
              </w:rPr>
              <w:t>4</w:t>
            </w:r>
          </w:p>
        </w:tc>
        <w:tc>
          <w:tcPr>
            <w:tcW w:w="1664" w:type="dxa"/>
            <w:vAlign w:val="center"/>
          </w:tcPr>
          <w:p>
            <w:pPr>
              <w:widowControl/>
              <w:jc w:val="center"/>
              <w:textAlignment w:val="center"/>
              <w:rPr>
                <w:rFonts w:ascii="宋体" w:hAnsi="宋体"/>
                <w:color w:val="auto"/>
                <w:sz w:val="24"/>
                <w:szCs w:val="24"/>
              </w:rPr>
            </w:pPr>
          </w:p>
        </w:tc>
        <w:tc>
          <w:tcPr>
            <w:tcW w:w="2249" w:type="dxa"/>
            <w:vAlign w:val="center"/>
          </w:tcPr>
          <w:p>
            <w:pPr>
              <w:pStyle w:val="2"/>
              <w:spacing w:line="360" w:lineRule="auto"/>
              <w:rPr>
                <w:rFonts w:hAnsi="宋体"/>
                <w:color w:val="auto"/>
                <w:sz w:val="24"/>
                <w:szCs w:val="24"/>
              </w:rPr>
            </w:pPr>
          </w:p>
        </w:tc>
        <w:tc>
          <w:tcPr>
            <w:tcW w:w="1894" w:type="dxa"/>
            <w:vAlign w:val="center"/>
          </w:tcPr>
          <w:p>
            <w:pPr>
              <w:snapToGrid w:val="0"/>
              <w:spacing w:line="360" w:lineRule="auto"/>
              <w:jc w:val="center"/>
              <w:rPr>
                <w:rFonts w:ascii="宋体" w:hAnsi="宋体"/>
                <w:color w:val="auto"/>
                <w:sz w:val="24"/>
                <w:szCs w:val="24"/>
              </w:rPr>
            </w:pPr>
          </w:p>
        </w:tc>
        <w:tc>
          <w:tcPr>
            <w:tcW w:w="817" w:type="dxa"/>
          </w:tcPr>
          <w:p>
            <w:pPr>
              <w:rPr>
                <w:rFonts w:ascii="宋体" w:hAnsi="宋体"/>
                <w:color w:val="auto"/>
                <w:sz w:val="24"/>
                <w:szCs w:val="24"/>
              </w:rPr>
            </w:pPr>
          </w:p>
        </w:tc>
        <w:tc>
          <w:tcPr>
            <w:tcW w:w="1268" w:type="dxa"/>
            <w:vAlign w:val="center"/>
          </w:tcPr>
          <w:p>
            <w:pPr>
              <w:pStyle w:val="2"/>
              <w:spacing w:line="360" w:lineRule="auto"/>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jc w:val="center"/>
        </w:trPr>
        <w:tc>
          <w:tcPr>
            <w:tcW w:w="825" w:type="dxa"/>
            <w:vAlign w:val="center"/>
          </w:tcPr>
          <w:p>
            <w:pPr>
              <w:snapToGrid w:val="0"/>
              <w:spacing w:line="360" w:lineRule="auto"/>
              <w:jc w:val="center"/>
              <w:rPr>
                <w:rFonts w:ascii="宋体" w:hAnsi="宋体"/>
                <w:color w:val="auto"/>
                <w:sz w:val="24"/>
                <w:szCs w:val="24"/>
              </w:rPr>
            </w:pPr>
            <w:r>
              <w:rPr>
                <w:rFonts w:hint="eastAsia" w:ascii="宋体" w:hAnsi="宋体"/>
                <w:color w:val="auto"/>
                <w:sz w:val="24"/>
                <w:szCs w:val="24"/>
              </w:rPr>
              <w:t>5</w:t>
            </w:r>
          </w:p>
        </w:tc>
        <w:tc>
          <w:tcPr>
            <w:tcW w:w="1664" w:type="dxa"/>
            <w:vAlign w:val="center"/>
          </w:tcPr>
          <w:p>
            <w:pPr>
              <w:widowControl/>
              <w:jc w:val="center"/>
              <w:textAlignment w:val="center"/>
              <w:rPr>
                <w:rFonts w:ascii="宋体" w:hAnsi="宋体"/>
                <w:color w:val="auto"/>
                <w:sz w:val="24"/>
                <w:szCs w:val="24"/>
              </w:rPr>
            </w:pPr>
          </w:p>
        </w:tc>
        <w:tc>
          <w:tcPr>
            <w:tcW w:w="2249" w:type="dxa"/>
            <w:vAlign w:val="center"/>
          </w:tcPr>
          <w:p>
            <w:pPr>
              <w:pStyle w:val="2"/>
              <w:spacing w:line="360" w:lineRule="auto"/>
              <w:rPr>
                <w:rFonts w:hAnsi="宋体"/>
                <w:color w:val="auto"/>
                <w:sz w:val="24"/>
                <w:szCs w:val="24"/>
              </w:rPr>
            </w:pPr>
          </w:p>
        </w:tc>
        <w:tc>
          <w:tcPr>
            <w:tcW w:w="1894" w:type="dxa"/>
            <w:vAlign w:val="center"/>
          </w:tcPr>
          <w:p>
            <w:pPr>
              <w:snapToGrid w:val="0"/>
              <w:spacing w:line="360" w:lineRule="auto"/>
              <w:jc w:val="center"/>
              <w:rPr>
                <w:rFonts w:ascii="宋体" w:hAnsi="宋体"/>
                <w:color w:val="auto"/>
                <w:sz w:val="24"/>
                <w:szCs w:val="24"/>
              </w:rPr>
            </w:pPr>
          </w:p>
        </w:tc>
        <w:tc>
          <w:tcPr>
            <w:tcW w:w="817" w:type="dxa"/>
          </w:tcPr>
          <w:p>
            <w:pPr>
              <w:rPr>
                <w:rFonts w:ascii="宋体" w:hAnsi="宋体"/>
                <w:color w:val="auto"/>
                <w:sz w:val="24"/>
                <w:szCs w:val="24"/>
              </w:rPr>
            </w:pPr>
          </w:p>
        </w:tc>
        <w:tc>
          <w:tcPr>
            <w:tcW w:w="1268" w:type="dxa"/>
            <w:vAlign w:val="center"/>
          </w:tcPr>
          <w:p>
            <w:pPr>
              <w:pStyle w:val="2"/>
              <w:spacing w:line="360" w:lineRule="auto"/>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snapToGrid w:val="0"/>
              <w:spacing w:line="360" w:lineRule="auto"/>
              <w:jc w:val="center"/>
              <w:rPr>
                <w:rFonts w:ascii="宋体" w:hAnsi="宋体"/>
                <w:color w:val="auto"/>
                <w:sz w:val="24"/>
                <w:szCs w:val="24"/>
              </w:rPr>
            </w:pPr>
            <w:r>
              <w:rPr>
                <w:rFonts w:hint="eastAsia" w:ascii="宋体" w:hAnsi="宋体"/>
                <w:color w:val="auto"/>
                <w:sz w:val="24"/>
                <w:szCs w:val="24"/>
              </w:rPr>
              <w:t>6</w:t>
            </w:r>
          </w:p>
        </w:tc>
        <w:tc>
          <w:tcPr>
            <w:tcW w:w="1664" w:type="dxa"/>
            <w:vAlign w:val="center"/>
          </w:tcPr>
          <w:p>
            <w:pPr>
              <w:widowControl/>
              <w:jc w:val="center"/>
              <w:textAlignment w:val="center"/>
              <w:rPr>
                <w:rFonts w:ascii="宋体" w:hAnsi="宋体"/>
                <w:color w:val="auto"/>
                <w:sz w:val="24"/>
                <w:szCs w:val="24"/>
              </w:rPr>
            </w:pPr>
          </w:p>
        </w:tc>
        <w:tc>
          <w:tcPr>
            <w:tcW w:w="2249" w:type="dxa"/>
            <w:vAlign w:val="center"/>
          </w:tcPr>
          <w:p>
            <w:pPr>
              <w:pStyle w:val="2"/>
              <w:spacing w:line="360" w:lineRule="auto"/>
              <w:rPr>
                <w:rFonts w:hAnsi="宋体"/>
                <w:color w:val="auto"/>
                <w:sz w:val="24"/>
                <w:szCs w:val="24"/>
              </w:rPr>
            </w:pPr>
          </w:p>
        </w:tc>
        <w:tc>
          <w:tcPr>
            <w:tcW w:w="1894" w:type="dxa"/>
            <w:vAlign w:val="center"/>
          </w:tcPr>
          <w:p>
            <w:pPr>
              <w:snapToGrid w:val="0"/>
              <w:spacing w:line="360" w:lineRule="auto"/>
              <w:jc w:val="center"/>
              <w:rPr>
                <w:rFonts w:ascii="宋体" w:hAnsi="宋体"/>
                <w:color w:val="auto"/>
                <w:sz w:val="24"/>
                <w:szCs w:val="24"/>
              </w:rPr>
            </w:pPr>
          </w:p>
        </w:tc>
        <w:tc>
          <w:tcPr>
            <w:tcW w:w="817" w:type="dxa"/>
          </w:tcPr>
          <w:p>
            <w:pPr>
              <w:rPr>
                <w:rFonts w:ascii="宋体" w:hAnsi="宋体"/>
                <w:color w:val="auto"/>
                <w:sz w:val="24"/>
                <w:szCs w:val="24"/>
              </w:rPr>
            </w:pPr>
          </w:p>
        </w:tc>
        <w:tc>
          <w:tcPr>
            <w:tcW w:w="1268" w:type="dxa"/>
            <w:vAlign w:val="center"/>
          </w:tcPr>
          <w:p>
            <w:pPr>
              <w:pStyle w:val="2"/>
              <w:spacing w:line="360" w:lineRule="auto"/>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snapToGrid w:val="0"/>
              <w:spacing w:line="360" w:lineRule="auto"/>
              <w:jc w:val="center"/>
              <w:rPr>
                <w:rFonts w:ascii="宋体" w:hAnsi="宋体"/>
                <w:color w:val="auto"/>
                <w:sz w:val="24"/>
                <w:szCs w:val="24"/>
              </w:rPr>
            </w:pPr>
            <w:r>
              <w:rPr>
                <w:rFonts w:hint="eastAsia" w:ascii="宋体" w:hAnsi="宋体"/>
                <w:color w:val="auto"/>
                <w:sz w:val="24"/>
                <w:szCs w:val="24"/>
              </w:rPr>
              <w:t>7</w:t>
            </w:r>
          </w:p>
        </w:tc>
        <w:tc>
          <w:tcPr>
            <w:tcW w:w="1664" w:type="dxa"/>
            <w:vAlign w:val="center"/>
          </w:tcPr>
          <w:p>
            <w:pPr>
              <w:widowControl/>
              <w:jc w:val="center"/>
              <w:textAlignment w:val="center"/>
              <w:rPr>
                <w:rFonts w:ascii="宋体" w:hAnsi="宋体"/>
                <w:color w:val="auto"/>
                <w:sz w:val="24"/>
                <w:szCs w:val="24"/>
              </w:rPr>
            </w:pPr>
          </w:p>
        </w:tc>
        <w:tc>
          <w:tcPr>
            <w:tcW w:w="2249" w:type="dxa"/>
            <w:vAlign w:val="center"/>
          </w:tcPr>
          <w:p>
            <w:pPr>
              <w:pStyle w:val="2"/>
              <w:spacing w:line="360" w:lineRule="auto"/>
              <w:rPr>
                <w:rFonts w:hAnsi="宋体"/>
                <w:color w:val="auto"/>
                <w:sz w:val="24"/>
                <w:szCs w:val="24"/>
              </w:rPr>
            </w:pPr>
          </w:p>
        </w:tc>
        <w:tc>
          <w:tcPr>
            <w:tcW w:w="1894" w:type="dxa"/>
            <w:vAlign w:val="center"/>
          </w:tcPr>
          <w:p>
            <w:pPr>
              <w:snapToGrid w:val="0"/>
              <w:spacing w:line="360" w:lineRule="auto"/>
              <w:jc w:val="center"/>
              <w:rPr>
                <w:rFonts w:ascii="宋体" w:hAnsi="宋体"/>
                <w:color w:val="auto"/>
                <w:sz w:val="24"/>
                <w:szCs w:val="24"/>
              </w:rPr>
            </w:pPr>
          </w:p>
        </w:tc>
        <w:tc>
          <w:tcPr>
            <w:tcW w:w="817" w:type="dxa"/>
          </w:tcPr>
          <w:p>
            <w:pPr>
              <w:rPr>
                <w:rFonts w:ascii="宋体" w:hAnsi="宋体"/>
                <w:color w:val="auto"/>
                <w:sz w:val="24"/>
                <w:szCs w:val="24"/>
              </w:rPr>
            </w:pPr>
          </w:p>
        </w:tc>
        <w:tc>
          <w:tcPr>
            <w:tcW w:w="1268" w:type="dxa"/>
            <w:vAlign w:val="center"/>
          </w:tcPr>
          <w:p>
            <w:pPr>
              <w:pStyle w:val="2"/>
              <w:spacing w:line="360" w:lineRule="auto"/>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snapToGrid w:val="0"/>
              <w:spacing w:line="360" w:lineRule="auto"/>
              <w:jc w:val="center"/>
              <w:rPr>
                <w:rFonts w:ascii="宋体" w:hAnsi="宋体"/>
                <w:color w:val="auto"/>
                <w:sz w:val="24"/>
                <w:szCs w:val="24"/>
              </w:rPr>
            </w:pPr>
            <w:r>
              <w:rPr>
                <w:rFonts w:hint="eastAsia" w:ascii="宋体" w:hAnsi="宋体"/>
                <w:color w:val="auto"/>
                <w:sz w:val="24"/>
                <w:szCs w:val="24"/>
              </w:rPr>
              <w:t>8</w:t>
            </w:r>
          </w:p>
        </w:tc>
        <w:tc>
          <w:tcPr>
            <w:tcW w:w="1664" w:type="dxa"/>
            <w:vAlign w:val="center"/>
          </w:tcPr>
          <w:p>
            <w:pPr>
              <w:widowControl/>
              <w:jc w:val="center"/>
              <w:textAlignment w:val="center"/>
              <w:rPr>
                <w:rFonts w:ascii="宋体" w:hAnsi="宋体"/>
                <w:color w:val="auto"/>
                <w:sz w:val="24"/>
                <w:szCs w:val="24"/>
              </w:rPr>
            </w:pPr>
          </w:p>
        </w:tc>
        <w:tc>
          <w:tcPr>
            <w:tcW w:w="2249" w:type="dxa"/>
            <w:vAlign w:val="center"/>
          </w:tcPr>
          <w:p>
            <w:pPr>
              <w:pStyle w:val="2"/>
              <w:spacing w:line="360" w:lineRule="auto"/>
              <w:rPr>
                <w:rFonts w:hAnsi="宋体"/>
                <w:color w:val="auto"/>
                <w:sz w:val="24"/>
                <w:szCs w:val="24"/>
              </w:rPr>
            </w:pPr>
          </w:p>
        </w:tc>
        <w:tc>
          <w:tcPr>
            <w:tcW w:w="1894" w:type="dxa"/>
            <w:vAlign w:val="center"/>
          </w:tcPr>
          <w:p>
            <w:pPr>
              <w:snapToGrid w:val="0"/>
              <w:spacing w:line="360" w:lineRule="auto"/>
              <w:jc w:val="center"/>
              <w:rPr>
                <w:rFonts w:ascii="宋体" w:hAnsi="宋体"/>
                <w:color w:val="auto"/>
                <w:sz w:val="24"/>
                <w:szCs w:val="24"/>
              </w:rPr>
            </w:pPr>
          </w:p>
        </w:tc>
        <w:tc>
          <w:tcPr>
            <w:tcW w:w="817" w:type="dxa"/>
          </w:tcPr>
          <w:p>
            <w:pPr>
              <w:rPr>
                <w:rFonts w:ascii="宋体" w:hAnsi="宋体"/>
                <w:color w:val="auto"/>
                <w:sz w:val="24"/>
                <w:szCs w:val="24"/>
              </w:rPr>
            </w:pPr>
          </w:p>
        </w:tc>
        <w:tc>
          <w:tcPr>
            <w:tcW w:w="1268" w:type="dxa"/>
            <w:vAlign w:val="center"/>
          </w:tcPr>
          <w:p>
            <w:pPr>
              <w:pStyle w:val="2"/>
              <w:spacing w:line="360" w:lineRule="auto"/>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snapToGrid w:val="0"/>
              <w:spacing w:line="360" w:lineRule="auto"/>
              <w:jc w:val="center"/>
              <w:rPr>
                <w:rFonts w:ascii="宋体" w:hAnsi="宋体"/>
                <w:color w:val="auto"/>
                <w:sz w:val="24"/>
                <w:szCs w:val="24"/>
              </w:rPr>
            </w:pPr>
            <w:r>
              <w:rPr>
                <w:rFonts w:hint="eastAsia" w:ascii="宋体" w:hAnsi="宋体"/>
                <w:color w:val="auto"/>
                <w:sz w:val="24"/>
                <w:szCs w:val="24"/>
              </w:rPr>
              <w:t>9</w:t>
            </w:r>
          </w:p>
        </w:tc>
        <w:tc>
          <w:tcPr>
            <w:tcW w:w="1664" w:type="dxa"/>
            <w:vAlign w:val="center"/>
          </w:tcPr>
          <w:p>
            <w:pPr>
              <w:widowControl/>
              <w:jc w:val="center"/>
              <w:textAlignment w:val="center"/>
              <w:rPr>
                <w:rFonts w:ascii="宋体" w:hAnsi="宋体"/>
                <w:color w:val="auto"/>
                <w:sz w:val="24"/>
                <w:szCs w:val="24"/>
              </w:rPr>
            </w:pPr>
          </w:p>
        </w:tc>
        <w:tc>
          <w:tcPr>
            <w:tcW w:w="2249" w:type="dxa"/>
            <w:vAlign w:val="center"/>
          </w:tcPr>
          <w:p>
            <w:pPr>
              <w:pStyle w:val="2"/>
              <w:spacing w:line="360" w:lineRule="auto"/>
              <w:rPr>
                <w:rFonts w:hAnsi="宋体"/>
                <w:color w:val="auto"/>
                <w:sz w:val="24"/>
                <w:szCs w:val="24"/>
              </w:rPr>
            </w:pPr>
          </w:p>
        </w:tc>
        <w:tc>
          <w:tcPr>
            <w:tcW w:w="1894" w:type="dxa"/>
            <w:vAlign w:val="center"/>
          </w:tcPr>
          <w:p>
            <w:pPr>
              <w:snapToGrid w:val="0"/>
              <w:spacing w:line="360" w:lineRule="auto"/>
              <w:jc w:val="center"/>
              <w:rPr>
                <w:rFonts w:ascii="宋体" w:hAnsi="宋体"/>
                <w:color w:val="auto"/>
                <w:sz w:val="24"/>
                <w:szCs w:val="24"/>
              </w:rPr>
            </w:pPr>
          </w:p>
        </w:tc>
        <w:tc>
          <w:tcPr>
            <w:tcW w:w="817" w:type="dxa"/>
          </w:tcPr>
          <w:p>
            <w:pPr>
              <w:rPr>
                <w:rFonts w:ascii="宋体" w:hAnsi="宋体"/>
                <w:color w:val="auto"/>
                <w:sz w:val="24"/>
                <w:szCs w:val="24"/>
              </w:rPr>
            </w:pPr>
          </w:p>
        </w:tc>
        <w:tc>
          <w:tcPr>
            <w:tcW w:w="1268" w:type="dxa"/>
            <w:vAlign w:val="center"/>
          </w:tcPr>
          <w:p>
            <w:pPr>
              <w:pStyle w:val="2"/>
              <w:spacing w:line="360" w:lineRule="auto"/>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825" w:type="dxa"/>
            <w:vAlign w:val="center"/>
          </w:tcPr>
          <w:p>
            <w:pPr>
              <w:snapToGrid w:val="0"/>
              <w:spacing w:line="360" w:lineRule="auto"/>
              <w:jc w:val="center"/>
              <w:rPr>
                <w:rFonts w:ascii="宋体" w:hAnsi="宋体"/>
                <w:color w:val="auto"/>
                <w:sz w:val="24"/>
                <w:szCs w:val="24"/>
              </w:rPr>
            </w:pPr>
            <w:r>
              <w:rPr>
                <w:rFonts w:hint="eastAsia" w:ascii="宋体" w:hAnsi="宋体"/>
                <w:color w:val="auto"/>
                <w:sz w:val="24"/>
                <w:szCs w:val="24"/>
              </w:rPr>
              <w:t>10</w:t>
            </w:r>
          </w:p>
        </w:tc>
        <w:tc>
          <w:tcPr>
            <w:tcW w:w="1664" w:type="dxa"/>
            <w:vAlign w:val="center"/>
          </w:tcPr>
          <w:p>
            <w:pPr>
              <w:widowControl/>
              <w:jc w:val="center"/>
              <w:textAlignment w:val="center"/>
              <w:rPr>
                <w:rFonts w:ascii="宋体" w:hAnsi="宋体"/>
                <w:color w:val="auto"/>
                <w:sz w:val="24"/>
                <w:szCs w:val="24"/>
              </w:rPr>
            </w:pPr>
          </w:p>
        </w:tc>
        <w:tc>
          <w:tcPr>
            <w:tcW w:w="2249" w:type="dxa"/>
            <w:vAlign w:val="center"/>
          </w:tcPr>
          <w:p>
            <w:pPr>
              <w:pStyle w:val="2"/>
              <w:spacing w:line="360" w:lineRule="auto"/>
              <w:rPr>
                <w:rFonts w:hAnsi="宋体"/>
                <w:color w:val="auto"/>
                <w:sz w:val="24"/>
                <w:szCs w:val="24"/>
              </w:rPr>
            </w:pPr>
          </w:p>
        </w:tc>
        <w:tc>
          <w:tcPr>
            <w:tcW w:w="1894" w:type="dxa"/>
            <w:vAlign w:val="center"/>
          </w:tcPr>
          <w:p>
            <w:pPr>
              <w:snapToGrid w:val="0"/>
              <w:spacing w:line="360" w:lineRule="auto"/>
              <w:jc w:val="center"/>
              <w:rPr>
                <w:rFonts w:ascii="宋体" w:hAnsi="宋体"/>
                <w:color w:val="auto"/>
                <w:sz w:val="24"/>
                <w:szCs w:val="24"/>
              </w:rPr>
            </w:pPr>
          </w:p>
        </w:tc>
        <w:tc>
          <w:tcPr>
            <w:tcW w:w="817" w:type="dxa"/>
          </w:tcPr>
          <w:p>
            <w:pPr>
              <w:rPr>
                <w:rFonts w:ascii="宋体" w:hAnsi="宋体"/>
                <w:color w:val="auto"/>
                <w:sz w:val="24"/>
                <w:szCs w:val="24"/>
              </w:rPr>
            </w:pPr>
          </w:p>
        </w:tc>
        <w:tc>
          <w:tcPr>
            <w:tcW w:w="1268" w:type="dxa"/>
            <w:vAlign w:val="center"/>
          </w:tcPr>
          <w:p>
            <w:pPr>
              <w:pStyle w:val="2"/>
              <w:spacing w:line="360" w:lineRule="auto"/>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jc w:val="center"/>
        </w:trPr>
        <w:tc>
          <w:tcPr>
            <w:tcW w:w="2489" w:type="dxa"/>
            <w:gridSpan w:val="2"/>
            <w:vAlign w:val="center"/>
          </w:tcPr>
          <w:p>
            <w:pPr>
              <w:snapToGrid w:val="0"/>
              <w:spacing w:line="360" w:lineRule="auto"/>
              <w:jc w:val="center"/>
              <w:rPr>
                <w:rFonts w:ascii="宋体" w:hAnsi="宋体"/>
                <w:color w:val="auto"/>
                <w:sz w:val="24"/>
                <w:szCs w:val="24"/>
              </w:rPr>
            </w:pPr>
            <w:r>
              <w:rPr>
                <w:rFonts w:hint="eastAsia" w:ascii="宋体" w:hAnsi="宋体"/>
                <w:color w:val="auto"/>
                <w:sz w:val="24"/>
                <w:szCs w:val="24"/>
              </w:rPr>
              <w:t>总 计（与报价函的报价一致，如不一致，以</w:t>
            </w:r>
            <w:r>
              <w:rPr>
                <w:rFonts w:hint="eastAsia" w:ascii="宋体" w:hAnsi="宋体"/>
                <w:color w:val="auto"/>
                <w:sz w:val="24"/>
                <w:szCs w:val="24"/>
                <w:lang w:eastAsia="zh-CN"/>
              </w:rPr>
              <w:t>最小金额</w:t>
            </w:r>
            <w:r>
              <w:rPr>
                <w:rFonts w:hint="eastAsia" w:ascii="宋体" w:hAnsi="宋体"/>
                <w:color w:val="auto"/>
                <w:sz w:val="24"/>
                <w:szCs w:val="24"/>
              </w:rPr>
              <w:t>为准）</w:t>
            </w:r>
          </w:p>
        </w:tc>
        <w:tc>
          <w:tcPr>
            <w:tcW w:w="6228" w:type="dxa"/>
            <w:gridSpan w:val="4"/>
            <w:vAlign w:val="center"/>
          </w:tcPr>
          <w:p>
            <w:pPr>
              <w:snapToGrid w:val="0"/>
              <w:spacing w:line="360" w:lineRule="auto"/>
              <w:rPr>
                <w:rFonts w:hint="eastAsia" w:ascii="宋体" w:hAnsi="宋体" w:eastAsiaTheme="minorEastAsia"/>
                <w:color w:val="auto"/>
                <w:sz w:val="24"/>
                <w:szCs w:val="24"/>
                <w:lang w:val="en-US" w:eastAsia="zh-CN"/>
              </w:rPr>
            </w:pPr>
            <w:r>
              <w:rPr>
                <w:rFonts w:hint="eastAsia" w:ascii="宋体" w:hAnsi="宋体"/>
                <w:color w:val="auto"/>
                <w:sz w:val="24"/>
                <w:szCs w:val="24"/>
              </w:rPr>
              <w:t>人民币（大写）</w:t>
            </w:r>
            <w:r>
              <w:rPr>
                <w:rFonts w:hint="eastAsia" w:ascii="宋体" w:hAnsi="宋体"/>
                <w:color w:val="auto"/>
                <w:sz w:val="24"/>
                <w:szCs w:val="24"/>
                <w:lang w:eastAsia="zh-CN"/>
              </w:rPr>
              <w:t>：</w:t>
            </w:r>
            <w:r>
              <w:rPr>
                <w:rFonts w:hint="eastAsia" w:ascii="宋体" w:hAnsi="宋体"/>
                <w:color w:val="auto"/>
                <w:sz w:val="24"/>
                <w:szCs w:val="24"/>
                <w:lang w:val="en-US" w:eastAsia="zh-CN"/>
              </w:rPr>
              <w:t xml:space="preserve">               小写： </w:t>
            </w:r>
          </w:p>
        </w:tc>
      </w:tr>
    </w:tbl>
    <w:p>
      <w:pPr>
        <w:snapToGrid w:val="0"/>
        <w:spacing w:line="360" w:lineRule="auto"/>
        <w:rPr>
          <w:rFonts w:ascii="宋体" w:hAnsi="宋体"/>
          <w:sz w:val="24"/>
          <w:szCs w:val="24"/>
        </w:rPr>
      </w:pPr>
    </w:p>
    <w:p>
      <w:pPr>
        <w:rPr>
          <w:rFonts w:hint="eastAsia" w:ascii="宋体" w:hAnsi="宋体"/>
        </w:rPr>
      </w:pPr>
      <w:r>
        <w:rPr>
          <w:rFonts w:hint="eastAsia" w:ascii="宋体" w:hAnsi="宋体"/>
        </w:rPr>
        <w:t>（此表为样表，投标单位可根据各种资费内容自行设计）</w:t>
      </w:r>
    </w:p>
    <w:p>
      <w:pPr>
        <w:rPr>
          <w:rFonts w:hint="eastAsia" w:ascii="宋体" w:hAnsi="宋体"/>
        </w:rPr>
      </w:pPr>
    </w:p>
    <w:p>
      <w:pPr>
        <w:spacing w:line="500" w:lineRule="exact"/>
        <w:rPr>
          <w:rFonts w:hint="eastAsia" w:ascii="宋体" w:hAnsi="宋体"/>
          <w:sz w:val="24"/>
          <w:szCs w:val="24"/>
          <w:lang w:eastAsia="zh-CN"/>
        </w:rPr>
      </w:pPr>
      <w:r>
        <w:rPr>
          <w:rFonts w:hint="eastAsia" w:ascii="宋体" w:hAnsi="宋体"/>
          <w:sz w:val="24"/>
          <w:szCs w:val="24"/>
        </w:rPr>
        <w:t>投标单位：</w:t>
      </w:r>
      <w:r>
        <w:rPr>
          <w:rFonts w:hint="eastAsia" w:ascii="宋体" w:hAnsi="宋体"/>
          <w:sz w:val="24"/>
          <w:szCs w:val="24"/>
          <w:lang w:val="en-US" w:eastAsia="zh-CN"/>
        </w:rPr>
        <w:t xml:space="preserve">                                 </w:t>
      </w:r>
      <w:r>
        <w:rPr>
          <w:rFonts w:hint="eastAsia" w:ascii="宋体" w:hAnsi="宋体"/>
          <w:sz w:val="24"/>
          <w:szCs w:val="24"/>
        </w:rPr>
        <w:t>法定代表人或被授权代表</w:t>
      </w:r>
      <w:r>
        <w:rPr>
          <w:rFonts w:hint="eastAsia" w:ascii="宋体" w:hAnsi="宋体"/>
          <w:sz w:val="24"/>
          <w:szCs w:val="24"/>
          <w:lang w:eastAsia="zh-CN"/>
        </w:rPr>
        <w:t>：</w:t>
      </w:r>
    </w:p>
    <w:p>
      <w:pPr>
        <w:spacing w:line="500" w:lineRule="exact"/>
        <w:rPr>
          <w:rFonts w:hint="eastAsia" w:ascii="宋体" w:hAnsi="宋体"/>
          <w:sz w:val="24"/>
          <w:szCs w:val="24"/>
        </w:rPr>
      </w:pPr>
      <w:r>
        <w:rPr>
          <w:rFonts w:hint="eastAsia" w:ascii="宋体" w:hAnsi="宋体"/>
          <w:sz w:val="24"/>
          <w:szCs w:val="24"/>
        </w:rPr>
        <w:t>（</w:t>
      </w:r>
      <w:r>
        <w:rPr>
          <w:rFonts w:hint="eastAsia" w:ascii="宋体" w:hAnsi="宋体"/>
          <w:sz w:val="24"/>
          <w:szCs w:val="24"/>
          <w:lang w:eastAsia="zh-CN"/>
        </w:rPr>
        <w:t>投标单位</w:t>
      </w:r>
      <w:r>
        <w:rPr>
          <w:rFonts w:hint="eastAsia" w:ascii="宋体" w:hAnsi="宋体"/>
          <w:sz w:val="24"/>
          <w:szCs w:val="24"/>
        </w:rPr>
        <w:t>公章）</w:t>
      </w:r>
      <w:r>
        <w:rPr>
          <w:rFonts w:hint="eastAsia" w:ascii="宋体" w:hAnsi="宋体"/>
          <w:sz w:val="27"/>
          <w:szCs w:val="27"/>
          <w:lang w:val="en-US" w:eastAsia="zh-CN"/>
        </w:rPr>
        <w:t xml:space="preserve">                           </w:t>
      </w:r>
      <w:r>
        <w:rPr>
          <w:rFonts w:hint="eastAsia" w:ascii="宋体" w:hAnsi="宋体"/>
          <w:sz w:val="24"/>
          <w:szCs w:val="24"/>
          <w:lang w:val="en-US" w:eastAsia="zh-CN"/>
        </w:rPr>
        <w:t xml:space="preserve">  </w:t>
      </w:r>
      <w:r>
        <w:rPr>
          <w:rFonts w:hint="eastAsia" w:ascii="宋体" w:hAnsi="宋体"/>
          <w:sz w:val="24"/>
          <w:szCs w:val="24"/>
        </w:rPr>
        <w:t>（签字</w:t>
      </w:r>
      <w:r>
        <w:rPr>
          <w:rFonts w:hint="eastAsia" w:ascii="宋体" w:hAnsi="宋体"/>
          <w:sz w:val="24"/>
          <w:szCs w:val="24"/>
          <w:lang w:eastAsia="zh-CN"/>
        </w:rPr>
        <w:t>或盖章</w:t>
      </w:r>
      <w:r>
        <w:rPr>
          <w:rFonts w:hint="eastAsia" w:ascii="宋体" w:hAnsi="宋体"/>
          <w:sz w:val="24"/>
          <w:szCs w:val="24"/>
        </w:rPr>
        <w:t>） </w:t>
      </w:r>
      <w:r>
        <w:rPr>
          <w:rFonts w:hint="eastAsia" w:ascii="宋体" w:hAnsi="宋体"/>
          <w:sz w:val="24"/>
          <w:szCs w:val="24"/>
          <w:lang w:val="en-US" w:eastAsia="zh-CN"/>
        </w:rPr>
        <w:t xml:space="preserve">    </w:t>
      </w:r>
    </w:p>
    <w:p>
      <w:pPr>
        <w:pStyle w:val="8"/>
        <w:spacing w:line="360" w:lineRule="auto"/>
        <w:ind w:firstLine="3960" w:firstLineChars="1650"/>
        <w:rPr>
          <w:rFonts w:ascii="宋体" w:hAnsi="宋体" w:eastAsia="宋体" w:cs="宋体"/>
          <w:snapToGrid w:val="0"/>
          <w:kern w:val="0"/>
          <w:sz w:val="24"/>
          <w:szCs w:val="24"/>
        </w:rPr>
      </w:pPr>
      <w:r>
        <w:rPr>
          <w:rFonts w:hint="eastAsia" w:ascii="宋体" w:hAnsi="宋体"/>
          <w:sz w:val="24"/>
          <w:szCs w:val="24"/>
          <w:lang w:val="en-US" w:eastAsia="zh-CN"/>
        </w:rPr>
        <w:t xml:space="preserve">                 </w:t>
      </w:r>
      <w:r>
        <w:rPr>
          <w:rFonts w:hint="eastAsia" w:ascii="宋体" w:hAnsi="宋体"/>
          <w:sz w:val="24"/>
          <w:szCs w:val="24"/>
        </w:rPr>
        <w:t>年     月    日</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color w:val="auto"/>
          <w:kern w:val="0"/>
          <w:sz w:val="24"/>
          <w:szCs w:val="24"/>
        </w:rPr>
      </w:pPr>
    </w:p>
    <w:p>
      <w:pPr>
        <w:pageBreakBefore w:val="0"/>
        <w:numPr>
          <w:ilvl w:val="0"/>
          <w:numId w:val="13"/>
        </w:numPr>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其他文件（不作为必要要件）</w:t>
      </w:r>
    </w:p>
    <w:p>
      <w:pPr>
        <w:pageBreakBefore w:val="0"/>
        <w:kinsoku/>
        <w:wordWrap/>
        <w:overflowPunct/>
        <w:topLinePunct w:val="0"/>
        <w:autoSpaceDE/>
        <w:autoSpaceDN/>
        <w:bidi w:val="0"/>
        <w:adjustRightInd/>
        <w:spacing w:line="460" w:lineRule="exact"/>
        <w:textAlignment w:val="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投标单位提供与评分有关的内容或者投标单位认为需要提供的其他文件（每页加盖投标单位鲜章或骑缝章）</w:t>
      </w:r>
    </w:p>
    <w:p>
      <w:pPr>
        <w:numPr>
          <w:ilvl w:val="0"/>
          <w:numId w:val="0"/>
        </w:numPr>
        <w:jc w:val="both"/>
        <w:rPr>
          <w:rFonts w:hint="eastAsia" w:ascii="宋体" w:hAnsi="宋体" w:cs="Arial"/>
          <w:snapToGrid w:val="0"/>
          <w:kern w:val="0"/>
          <w:sz w:val="30"/>
          <w:szCs w:val="30"/>
          <w:lang w:val="en-US" w:eastAsia="zh-CN"/>
        </w:rPr>
      </w:pPr>
    </w:p>
    <w:p/>
    <w:sectPr>
      <w:headerReference r:id="rId3" w:type="default"/>
      <w:footerReference r:id="rId4" w:type="default"/>
      <w:pgSz w:w="11907" w:h="16840"/>
      <w:pgMar w:top="1440" w:right="1797" w:bottom="1440" w:left="1797" w:header="851" w:footer="992" w:gutter="0"/>
      <w:pgBorders>
        <w:top w:val="none" w:color="auto" w:sz="0" w:space="0"/>
        <w:left w:val="none" w:color="auto" w:sz="0" w:space="0"/>
        <w:bottom w:val="none" w:color="auto" w:sz="0" w:space="0"/>
        <w:right w:val="none" w:color="auto" w:sz="0" w:space="0"/>
      </w:pgBorders>
      <w:pgNumType w:fmt="decimal"/>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sz w:val="28"/>
      </w:rPr>
    </w:pPr>
    <w:r>
      <w:rPr>
        <w:rStyle w:val="13"/>
        <w:sz w:val="28"/>
      </w:rPr>
      <w:t>-</w:t>
    </w:r>
    <w:r>
      <w:rPr>
        <w:sz w:val="28"/>
      </w:rPr>
      <w:fldChar w:fldCharType="begin"/>
    </w:r>
    <w:r>
      <w:rPr>
        <w:rStyle w:val="13"/>
        <w:sz w:val="28"/>
      </w:rPr>
      <w:instrText xml:space="preserve">PAGE  </w:instrText>
    </w:r>
    <w:r>
      <w:rPr>
        <w:sz w:val="28"/>
      </w:rPr>
      <w:fldChar w:fldCharType="separate"/>
    </w:r>
    <w:r>
      <w:rPr>
        <w:rStyle w:val="13"/>
        <w:sz w:val="28"/>
      </w:rPr>
      <w:t>2</w:t>
    </w:r>
    <w:r>
      <w:rPr>
        <w:sz w:val="28"/>
      </w:rPr>
      <w:fldChar w:fldCharType="end"/>
    </w:r>
    <w:r>
      <w:rPr>
        <w:rStyle w:val="13"/>
        <w:sz w:val="28"/>
      </w:rPr>
      <w:t>-</w: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C596DF"/>
    <w:multiLevelType w:val="singleLevel"/>
    <w:tmpl w:val="B6C596DF"/>
    <w:lvl w:ilvl="0" w:tentative="0">
      <w:start w:val="2"/>
      <w:numFmt w:val="chineseCounting"/>
      <w:suff w:val="nothing"/>
      <w:lvlText w:val="（%1）"/>
      <w:lvlJc w:val="left"/>
      <w:rPr>
        <w:rFonts w:hint="eastAsia"/>
      </w:rPr>
    </w:lvl>
  </w:abstractNum>
  <w:abstractNum w:abstractNumId="1">
    <w:nsid w:val="F5BEBBDB"/>
    <w:multiLevelType w:val="singleLevel"/>
    <w:tmpl w:val="F5BEBBDB"/>
    <w:lvl w:ilvl="0" w:tentative="0">
      <w:start w:val="1"/>
      <w:numFmt w:val="decimal"/>
      <w:lvlText w:val="%1."/>
      <w:lvlJc w:val="left"/>
      <w:pPr>
        <w:tabs>
          <w:tab w:val="left" w:pos="312"/>
        </w:tabs>
      </w:pPr>
    </w:lvl>
  </w:abstractNum>
  <w:abstractNum w:abstractNumId="2">
    <w:nsid w:val="00000003"/>
    <w:multiLevelType w:val="singleLevel"/>
    <w:tmpl w:val="00000003"/>
    <w:lvl w:ilvl="0" w:tentative="0">
      <w:start w:val="1"/>
      <w:numFmt w:val="decimal"/>
      <w:lvlText w:val="%1、"/>
      <w:lvlJc w:val="left"/>
      <w:pPr>
        <w:tabs>
          <w:tab w:val="left" w:pos="987"/>
        </w:tabs>
        <w:ind w:left="987" w:hanging="420"/>
      </w:pPr>
      <w:rPr>
        <w:rFonts w:hint="eastAsia"/>
      </w:rPr>
    </w:lvl>
  </w:abstractNum>
  <w:abstractNum w:abstractNumId="3">
    <w:nsid w:val="5A6FCD4C"/>
    <w:multiLevelType w:val="singleLevel"/>
    <w:tmpl w:val="5A6FCD4C"/>
    <w:lvl w:ilvl="0" w:tentative="0">
      <w:start w:val="1"/>
      <w:numFmt w:val="decimal"/>
      <w:suff w:val="nothing"/>
      <w:lvlText w:val="%1、"/>
      <w:lvlJc w:val="left"/>
    </w:lvl>
  </w:abstractNum>
  <w:abstractNum w:abstractNumId="4">
    <w:nsid w:val="5A710D63"/>
    <w:multiLevelType w:val="singleLevel"/>
    <w:tmpl w:val="5A710D63"/>
    <w:lvl w:ilvl="0" w:tentative="0">
      <w:start w:val="1"/>
      <w:numFmt w:val="decimal"/>
      <w:suff w:val="nothing"/>
      <w:lvlText w:val="%1、"/>
      <w:lvlJc w:val="left"/>
    </w:lvl>
  </w:abstractNum>
  <w:abstractNum w:abstractNumId="5">
    <w:nsid w:val="5A710EF4"/>
    <w:multiLevelType w:val="singleLevel"/>
    <w:tmpl w:val="5A710EF4"/>
    <w:lvl w:ilvl="0" w:tentative="0">
      <w:start w:val="3"/>
      <w:numFmt w:val="chineseCounting"/>
      <w:suff w:val="nothing"/>
      <w:lvlText w:val="%1、"/>
      <w:lvlJc w:val="left"/>
    </w:lvl>
  </w:abstractNum>
  <w:abstractNum w:abstractNumId="6">
    <w:nsid w:val="5A712E63"/>
    <w:multiLevelType w:val="singleLevel"/>
    <w:tmpl w:val="5A712E63"/>
    <w:lvl w:ilvl="0" w:tentative="0">
      <w:start w:val="1"/>
      <w:numFmt w:val="chineseCounting"/>
      <w:suff w:val="nothing"/>
      <w:lvlText w:val="（%1）"/>
      <w:lvlJc w:val="left"/>
    </w:lvl>
  </w:abstractNum>
  <w:abstractNum w:abstractNumId="7">
    <w:nsid w:val="5A712F59"/>
    <w:multiLevelType w:val="singleLevel"/>
    <w:tmpl w:val="5A712F59"/>
    <w:lvl w:ilvl="0" w:tentative="0">
      <w:start w:val="2"/>
      <w:numFmt w:val="chineseCounting"/>
      <w:suff w:val="nothing"/>
      <w:lvlText w:val="%1、"/>
      <w:lvlJc w:val="left"/>
    </w:lvl>
  </w:abstractNum>
  <w:abstractNum w:abstractNumId="8">
    <w:nsid w:val="5A7131F6"/>
    <w:multiLevelType w:val="singleLevel"/>
    <w:tmpl w:val="5A7131F6"/>
    <w:lvl w:ilvl="0" w:tentative="0">
      <w:start w:val="1"/>
      <w:numFmt w:val="chineseCounting"/>
      <w:suff w:val="nothing"/>
      <w:lvlText w:val="%1、"/>
      <w:lvlJc w:val="left"/>
    </w:lvl>
  </w:abstractNum>
  <w:abstractNum w:abstractNumId="9">
    <w:nsid w:val="5A71356A"/>
    <w:multiLevelType w:val="singleLevel"/>
    <w:tmpl w:val="5A71356A"/>
    <w:lvl w:ilvl="0" w:tentative="0">
      <w:start w:val="2"/>
      <w:numFmt w:val="chineseCounting"/>
      <w:suff w:val="nothing"/>
      <w:lvlText w:val="%1、"/>
      <w:lvlJc w:val="left"/>
    </w:lvl>
  </w:abstractNum>
  <w:abstractNum w:abstractNumId="10">
    <w:nsid w:val="5A71394B"/>
    <w:multiLevelType w:val="singleLevel"/>
    <w:tmpl w:val="5A71394B"/>
    <w:lvl w:ilvl="0" w:tentative="0">
      <w:start w:val="3"/>
      <w:numFmt w:val="chineseCounting"/>
      <w:suff w:val="nothing"/>
      <w:lvlText w:val="%1、"/>
      <w:lvlJc w:val="left"/>
    </w:lvl>
  </w:abstractNum>
  <w:abstractNum w:abstractNumId="11">
    <w:nsid w:val="5BE1602F"/>
    <w:multiLevelType w:val="singleLevel"/>
    <w:tmpl w:val="5BE1602F"/>
    <w:lvl w:ilvl="0" w:tentative="0">
      <w:start w:val="3"/>
      <w:numFmt w:val="chineseCounting"/>
      <w:suff w:val="nothing"/>
      <w:lvlText w:val="（%1）"/>
      <w:lvlJc w:val="left"/>
    </w:lvl>
  </w:abstractNum>
  <w:abstractNum w:abstractNumId="12">
    <w:nsid w:val="5C4FCE86"/>
    <w:multiLevelType w:val="singleLevel"/>
    <w:tmpl w:val="5C4FCE86"/>
    <w:lvl w:ilvl="0" w:tentative="0">
      <w:start w:val="1"/>
      <w:numFmt w:val="chineseCounting"/>
      <w:suff w:val="nothing"/>
      <w:lvlText w:val="%1、"/>
      <w:lvlJc w:val="left"/>
    </w:lvl>
  </w:abstractNum>
  <w:num w:numId="1">
    <w:abstractNumId w:val="2"/>
  </w:num>
  <w:num w:numId="2">
    <w:abstractNumId w:val="5"/>
  </w:num>
  <w:num w:numId="3">
    <w:abstractNumId w:val="0"/>
  </w:num>
  <w:num w:numId="4">
    <w:abstractNumId w:val="4"/>
  </w:num>
  <w:num w:numId="5">
    <w:abstractNumId w:val="3"/>
  </w:num>
  <w:num w:numId="6">
    <w:abstractNumId w:val="1"/>
  </w:num>
  <w:num w:numId="7">
    <w:abstractNumId w:val="12"/>
  </w:num>
  <w:num w:numId="8">
    <w:abstractNumId w:val="11"/>
  </w:num>
  <w:num w:numId="9">
    <w:abstractNumId w:val="6"/>
  </w:num>
  <w:num w:numId="10">
    <w:abstractNumId w:val="7"/>
  </w:num>
  <w:num w:numId="11">
    <w:abstractNumId w:val="8"/>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2YTA2N2I0ZjdlMTAxM2IwMjFiMWU2MWViNTk4YmQifQ=="/>
  </w:docVars>
  <w:rsids>
    <w:rsidRoot w:val="6AA413A8"/>
    <w:rsid w:val="043E6F15"/>
    <w:rsid w:val="061D1FAE"/>
    <w:rsid w:val="063475BD"/>
    <w:rsid w:val="06F87AC2"/>
    <w:rsid w:val="07C33647"/>
    <w:rsid w:val="0A5B6030"/>
    <w:rsid w:val="0A9A7D33"/>
    <w:rsid w:val="0AEC39F9"/>
    <w:rsid w:val="0C1A77A8"/>
    <w:rsid w:val="0F0834CB"/>
    <w:rsid w:val="0FA135AD"/>
    <w:rsid w:val="11C91D94"/>
    <w:rsid w:val="15F921EE"/>
    <w:rsid w:val="160A12F4"/>
    <w:rsid w:val="171A2A24"/>
    <w:rsid w:val="17527BE3"/>
    <w:rsid w:val="1755666B"/>
    <w:rsid w:val="18652C7D"/>
    <w:rsid w:val="18C375F4"/>
    <w:rsid w:val="1A21446B"/>
    <w:rsid w:val="1A900843"/>
    <w:rsid w:val="1E0360DC"/>
    <w:rsid w:val="1E236941"/>
    <w:rsid w:val="1EF21E3E"/>
    <w:rsid w:val="1FF4243E"/>
    <w:rsid w:val="28B25E15"/>
    <w:rsid w:val="29124EAB"/>
    <w:rsid w:val="2A46134F"/>
    <w:rsid w:val="2E371500"/>
    <w:rsid w:val="303C4A49"/>
    <w:rsid w:val="321E5940"/>
    <w:rsid w:val="332E3212"/>
    <w:rsid w:val="36D1265A"/>
    <w:rsid w:val="37954204"/>
    <w:rsid w:val="394773A5"/>
    <w:rsid w:val="39B65830"/>
    <w:rsid w:val="3EF504C3"/>
    <w:rsid w:val="3FDFB1E4"/>
    <w:rsid w:val="3FFD4556"/>
    <w:rsid w:val="40192682"/>
    <w:rsid w:val="40E865CF"/>
    <w:rsid w:val="410D742D"/>
    <w:rsid w:val="41840E5A"/>
    <w:rsid w:val="42985ED6"/>
    <w:rsid w:val="434976A9"/>
    <w:rsid w:val="458762F5"/>
    <w:rsid w:val="4DE22012"/>
    <w:rsid w:val="4EB726D8"/>
    <w:rsid w:val="4F74629D"/>
    <w:rsid w:val="511F4980"/>
    <w:rsid w:val="542A7E13"/>
    <w:rsid w:val="59BA61F2"/>
    <w:rsid w:val="59FD190B"/>
    <w:rsid w:val="5A4064BE"/>
    <w:rsid w:val="5B1D4F1A"/>
    <w:rsid w:val="5B3D4B7B"/>
    <w:rsid w:val="5DB14DA2"/>
    <w:rsid w:val="636729F8"/>
    <w:rsid w:val="63676DF2"/>
    <w:rsid w:val="66B11DE7"/>
    <w:rsid w:val="68FC1800"/>
    <w:rsid w:val="6AA413A8"/>
    <w:rsid w:val="6B111BF5"/>
    <w:rsid w:val="6EC93AF7"/>
    <w:rsid w:val="70F41B25"/>
    <w:rsid w:val="72E068B0"/>
    <w:rsid w:val="75AF5174"/>
    <w:rsid w:val="768C460E"/>
    <w:rsid w:val="78E97FF6"/>
    <w:rsid w:val="7AC031EF"/>
    <w:rsid w:val="7E346C97"/>
    <w:rsid w:val="DFBEF791"/>
    <w:rsid w:val="EEF7D1C2"/>
    <w:rsid w:val="F7FDC474"/>
    <w:rsid w:val="FD933893"/>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snapToGrid w:val="0"/>
      <w:spacing w:line="360" w:lineRule="atLeast"/>
      <w:outlineLvl w:val="0"/>
    </w:pPr>
    <w:rPr>
      <w:rFonts w:ascii="宋体" w:hAnsiTheme="minorHAnsi" w:eastAsiaTheme="minorEastAsia" w:cstheme="minorBidi"/>
      <w:sz w:val="28"/>
      <w:szCs w:val="22"/>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宋体"/>
      <w:b/>
      <w:kern w:val="2"/>
      <w:sz w:val="32"/>
      <w:lang w:val="en-US" w:eastAsia="zh-CN" w:bidi="ar-SA"/>
    </w:rPr>
  </w:style>
  <w:style w:type="character" w:default="1" w:styleId="11">
    <w:name w:val="Default Paragraph Font"/>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0"/>
    <w:rPr>
      <w:b/>
      <w:bCs/>
      <w:sz w:val="18"/>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toc 1"/>
    <w:basedOn w:val="1"/>
    <w:next w:val="1"/>
    <w:qFormat/>
    <w:uiPriority w:val="0"/>
  </w:style>
  <w:style w:type="paragraph" w:styleId="9">
    <w:name w:val="Body Text Indent 3"/>
    <w:basedOn w:val="1"/>
    <w:qFormat/>
    <w:uiPriority w:val="0"/>
    <w:pPr>
      <w:spacing w:after="120"/>
      <w:ind w:left="420" w:leftChars="200"/>
    </w:pPr>
    <w:rPr>
      <w:sz w:val="16"/>
      <w:szCs w:val="16"/>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0"/>
    <w:rPr>
      <w:b/>
    </w:rPr>
  </w:style>
  <w:style w:type="character" w:styleId="13">
    <w:name w:val="page number"/>
    <w:basedOn w:val="11"/>
    <w:qFormat/>
    <w:uiPriority w:val="0"/>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首行缩进"/>
    <w:basedOn w:val="1"/>
    <w:qFormat/>
    <w:uiPriority w:val="0"/>
    <w:pPr>
      <w:spacing w:line="360" w:lineRule="auto"/>
      <w:ind w:firstLine="420"/>
    </w:pPr>
    <w:rPr>
      <w:sz w:val="21"/>
    </w:rPr>
  </w:style>
  <w:style w:type="paragraph" w:customStyle="1" w:styleId="17">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522</Words>
  <Characters>549</Characters>
  <Lines>0</Lines>
  <Paragraphs>0</Paragraphs>
  <ScaleCrop>false</ScaleCrop>
  <LinksUpToDate>false</LinksUpToDate>
  <CharactersWithSpaces>585</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2020-08-01T06:50:00Z</dcterms:created>
  <dc:creator>Administrator</dc:creator>
  <cp:lastModifiedBy>user</cp:lastModifiedBy>
  <dcterms:modified xsi:type="dcterms:W3CDTF">2026-03-12T09:19:20Z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5A6E78945EC64AEEB01EE9F7EF1442EA_13</vt:lpwstr>
  </property>
  <property fmtid="{D5CDD505-2E9C-101B-9397-08002B2CF9AE}" pid="4" name="KSOTemplateDocerSaveRecord">
    <vt:lpwstr>eyJoZGlkIjoiZmEwOTkwMTUxMGExNjJlNDYyMWUyZjIyYTkzYWUzZjYiLCJ1c2VySWQiOiI2NjgxNDU1NTAifQ==</vt:lpwstr>
  </property>
</Properties>
</file>